
<file path=[Content_Types].xml><?xml version="1.0" encoding="utf-8"?>
<Types xmlns="http://schemas.openxmlformats.org/package/2006/content-types">
  <Override PartName="/_rels/.rels" ContentType="application/vnd.openxmlformats-package.relationships+xml"/>
  <Override PartName="/docProps/app.xml" ContentType="application/vnd.openxmlformats-officedocument.extended-properties+xml"/>
  <Override PartName="/docProps/core.xml" ContentType="application/vnd.openxmlformats-package.core-properties+xml"/>
  <Override PartName="/word/_rels/footer1.xml.rels" ContentType="application/vnd.openxmlformats-package.relationships+xml"/>
  <Override PartName="/word/_rels/document.xml.rels" ContentType="application/vnd.openxmlformats-package.relationships+xml"/>
  <Override PartName="/word/settings.xml" ContentType="application/vnd.openxmlformats-officedocument.wordprocessingml.settings+xml"/>
  <Override PartName="/word/fontTable.xml" ContentType="application/vnd.openxmlformats-officedocument.wordprocessingml.fontTable+xml"/>
  <Override PartName="/word/numbering.xml" ContentType="application/vnd.openxmlformats-officedocument.wordprocessingml.numbering+xml"/>
  <Override PartName="/word/styles.xml" ContentType="application/vnd.openxmlformats-officedocument.wordprocessingml.styles+xml"/>
  <Override PartName="/word/document.xml" ContentType="application/vnd.openxmlformats-officedocument.wordprocessingml.document.main+xml"/>
  <Override PartName="/word/media/image2.png" ContentType="image/png"/>
  <Override PartName="/word/media/image1.jpeg" ContentType="image/jpeg"/>
  <Override PartName="/word/embeddings/oleObject1.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Types>
</file>

<file path=_rels/.rels><?xml version="1.0" encoding="UTF-8"?>
<Relationships xmlns="http://schemas.openxmlformats.org/package/2006/relationships"><Relationship Id="rId1" Type="http://schemas.openxmlformats.org/officedocument/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Contents3"/>
        <w:rPr>
          <w:sz w:val="24"/>
          <w:szCs w:val="24"/>
        </w:rPr>
      </w:pPr>
      <w:r>
        <w:rPr>
          <w:sz w:val="24"/>
          <w:szCs w:val="24"/>
        </w:rPr>
        <w:t>Andelsbofællesskabet</w:t>
      </w:r>
    </w:p>
    <w:p>
      <w:pPr>
        <w:pStyle w:val="Contents3"/>
        <w:rPr/>
      </w:pPr>
      <w:r>
        <w:rPr/>
        <w:t>Jystrup Savværk</w:t>
      </w:r>
    </w:p>
    <w:p>
      <w:pPr>
        <w:pStyle w:val="Normal"/>
        <w:rPr/>
      </w:pPr>
      <w:r>
        <w:rPr/>
      </w:r>
    </w:p>
    <w:p>
      <w:pPr>
        <w:pStyle w:val="Normal"/>
        <w:rPr/>
      </w:pPr>
      <w:r>
        <w:rPr/>
      </w:r>
    </w:p>
    <w:p>
      <w:pPr>
        <w:pStyle w:val="Contents3"/>
        <w:rPr/>
      </w:pPr>
      <w:r>
        <mc:AlternateContent>
          <mc:Choice Requires="wps">
            <w:drawing>
              <wp:anchor behindDoc="0" distT="0" distB="0" distL="114935" distR="114935" simplePos="0" locked="0" layoutInCell="1" allowOverlap="1" relativeHeight="13">
                <wp:simplePos x="0" y="0"/>
                <wp:positionH relativeFrom="column">
                  <wp:posOffset>2137410</wp:posOffset>
                </wp:positionH>
                <wp:positionV relativeFrom="paragraph">
                  <wp:posOffset>-2252345</wp:posOffset>
                </wp:positionV>
                <wp:extent cx="635" cy="5029835"/>
                <wp:effectExtent l="0" t="0" r="0" b="0"/>
                <wp:wrapNone/>
                <wp:docPr id="1" name=""/>
                <a:graphic xmlns:a="http://schemas.openxmlformats.org/drawingml/2006/main">
                  <a:graphicData uri="http://schemas.microsoft.com/office/word/2010/wordprocessingShape">
                    <wps:wsp>
                      <wps:cNvSpPr/>
                      <wps:spPr>
                        <a:xfrm>
                          <a:off x="0" y="0"/>
                          <a:ext cx="0" cy="502920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29.7pt,20.6pt" to="-29.7pt,416.55pt" stroked="t" style="position:absolute">
                <v:stroke color="black" weight="9360" joinstyle="miter" endcap="square"/>
                <v:fill o:detectmouseclick="t" on="false"/>
              </v:line>
            </w:pict>
          </mc:Fallback>
        </mc:AlternateContent>
      </w:r>
      <w:r>
        <w:rPr/>
        <w:t>D</w:t>
      </w:r>
      <w:r>
        <w:rPr/>
        <w:t>rift- og vedligeholdelsesplan.</w:t>
      </w:r>
    </w:p>
    <w:p>
      <w:pPr>
        <w:pStyle w:val="Normal"/>
        <w:rPr/>
      </w:pPr>
      <w:r>
        <w:rPr/>
      </w:r>
    </w:p>
    <w:p>
      <w:pPr>
        <w:pStyle w:val="Normal"/>
        <w:rPr>
          <w:lang w:val="en-US" w:eastAsia="en-US"/>
        </w:rPr>
      </w:pPr>
      <w:r>
        <w:rPr>
          <w:lang w:val="en-US" w:eastAsia="en-US"/>
        </w:rPr>
        <mc:AlternateContent>
          <mc:Choice Requires="wps">
            <w:drawing>
              <wp:anchor behindDoc="0" distT="0" distB="0" distL="114935" distR="114935" simplePos="0" locked="0" layoutInCell="1" allowOverlap="1" relativeHeight="12">
                <wp:simplePos x="0" y="0"/>
                <wp:positionH relativeFrom="column">
                  <wp:posOffset>-1062990</wp:posOffset>
                </wp:positionH>
                <wp:positionV relativeFrom="paragraph">
                  <wp:posOffset>93345</wp:posOffset>
                </wp:positionV>
                <wp:extent cx="6858635" cy="635"/>
                <wp:effectExtent l="0" t="0" r="0" b="0"/>
                <wp:wrapNone/>
                <wp:docPr id="2" name=""/>
                <a:graphic xmlns:a="http://schemas.openxmlformats.org/drawingml/2006/main">
                  <a:graphicData uri="http://schemas.microsoft.com/office/word/2010/wordprocessingShape">
                    <wps:wsp>
                      <wps:cNvSpPr/>
                      <wps:spPr>
                        <a:xfrm>
                          <a:off x="0" y="0"/>
                          <a:ext cx="6858000" cy="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83.7pt,7.35pt" to="456.25pt,7.35pt" stroked="t" style="position:absolute">
                <v:stroke color="black" weight="9360" joinstyle="miter" endcap="square"/>
                <v:fill o:detectmouseclick="t" on="false"/>
              </v:line>
            </w:pict>
          </mc:Fallback>
        </mc:AlternateContent>
      </w:r>
    </w:p>
    <w:tbl>
      <w:tblPr>
        <w:tblW w:w="30936" w:type="dxa"/>
        <w:jc w:val="start"/>
        <w:tblInd w:w="-2943" w:type="dxa"/>
        <w:tblBorders/>
        <w:tblCellMar>
          <w:top w:w="0" w:type="dxa"/>
          <w:start w:w="108" w:type="dxa"/>
          <w:bottom w:w="0" w:type="dxa"/>
          <w:end w:w="108" w:type="dxa"/>
        </w:tblCellMar>
      </w:tblPr>
      <w:tblGrid>
        <w:gridCol w:w="30936"/>
      </w:tblGrid>
      <w:tr>
        <w:trPr/>
        <w:tc>
          <w:tcPr>
            <w:tcW w:w="30936" w:type="dxa"/>
            <w:tcBorders/>
            <w:shd w:fill="auto" w:val="clear"/>
          </w:tcPr>
          <w:p>
            <w:pPr>
              <w:pStyle w:val="Normal"/>
              <w:ind w:start="3261" w:hanging="0"/>
              <w:rPr/>
            </w:pPr>
            <w:r>
              <w:rPr/>
              <w:drawing>
                <wp:inline distT="0" distB="0" distL="0" distR="0">
                  <wp:extent cx="5481320" cy="4096385"/>
                  <wp:effectExtent l="0" t="0" r="0" b="0"/>
                  <wp:docPr id="3" name="Image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 descr="" title=""/>
                          <pic:cNvPicPr>
                            <a:picLocks noChangeAspect="1" noChangeArrowheads="1"/>
                          </pic:cNvPicPr>
                        </pic:nvPicPr>
                        <pic:blipFill>
                          <a:blip r:embed="rId2"/>
                          <a:srcRect l="-1" t="-1" r="-1" b="-1"/>
                          <a:stretch>
                            <a:fillRect/>
                          </a:stretch>
                        </pic:blipFill>
                        <pic:spPr bwMode="auto">
                          <a:xfrm>
                            <a:off x="0" y="0"/>
                            <a:ext cx="5481320" cy="4096385"/>
                          </a:xfrm>
                          <a:prstGeom prst="rect">
                            <a:avLst/>
                          </a:prstGeom>
                        </pic:spPr>
                      </pic:pic>
                    </a:graphicData>
                  </a:graphic>
                </wp:inline>
              </w:drawing>
            </w:r>
          </w:p>
        </w:tc>
      </w:tr>
    </w:tbl>
    <w:p>
      <w:pPr>
        <w:pStyle w:val="Normal"/>
        <w:rPr>
          <w:lang w:val="en-US" w:eastAsia="en-US"/>
        </w:rPr>
      </w:pPr>
      <w:r>
        <w:rPr>
          <w:lang w:val="en-US" w:eastAsia="en-US"/>
        </w:rPr>
        <mc:AlternateContent>
          <mc:Choice Requires="wps">
            <w:drawing>
              <wp:anchor behindDoc="0" distT="0" distB="0" distL="114935" distR="114935" simplePos="0" locked="0" layoutInCell="1" allowOverlap="1" relativeHeight="11">
                <wp:simplePos x="0" y="0"/>
                <wp:positionH relativeFrom="column">
                  <wp:posOffset>-1062990</wp:posOffset>
                </wp:positionH>
                <wp:positionV relativeFrom="paragraph">
                  <wp:posOffset>74930</wp:posOffset>
                </wp:positionV>
                <wp:extent cx="6858635" cy="635"/>
                <wp:effectExtent l="0" t="0" r="0" b="0"/>
                <wp:wrapNone/>
                <wp:docPr id="4" name=""/>
                <a:graphic xmlns:a="http://schemas.openxmlformats.org/drawingml/2006/main">
                  <a:graphicData uri="http://schemas.microsoft.com/office/word/2010/wordprocessingShape">
                    <wps:wsp>
                      <wps:cNvSpPr/>
                      <wps:spPr>
                        <a:xfrm>
                          <a:off x="0" y="0"/>
                          <a:ext cx="6858000" cy="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83.7pt,5.9pt" to="456.25pt,5.9pt" stroked="t" style="position:absolute">
                <v:stroke color="black" weight="9360" joinstyle="miter" endcap="square"/>
                <v:fill o:detectmouseclick="t" on="false"/>
              </v:line>
            </w:pict>
          </mc:Fallback>
        </mc:AlternateContent>
      </w:r>
    </w:p>
    <w:p>
      <w:pPr>
        <w:pStyle w:val="Normal"/>
        <w:rPr/>
      </w:pPr>
      <w:r>
        <w:rPr/>
      </w:r>
    </w:p>
    <w:p>
      <w:pPr>
        <w:pStyle w:val="Normal"/>
        <w:rPr/>
      </w:pPr>
      <w:r>
        <w:rPr/>
      </w:r>
    </w:p>
    <w:p>
      <w:pPr>
        <w:pStyle w:val="Contents3"/>
        <w:rPr/>
      </w:pPr>
      <w:r>
        <w:rPr/>
        <w:t>Jystrup Savværk</w:t>
      </w:r>
    </w:p>
    <w:p>
      <w:pPr>
        <w:pStyle w:val="Contents3"/>
        <w:rPr/>
      </w:pPr>
      <w:r>
        <w:rPr/>
        <w:t xml:space="preserve">Skjoldenæsvej 36, 4174 </w:t>
      </w:r>
      <w:bookmarkStart w:id="0" w:name="Yderligere1"/>
      <w:r>
        <w:rPr/>
        <w:t>Jystrup</w:t>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ind w:start="5954" w:hanging="425"/>
        <w:rPr/>
      </w:pPr>
      <w:r>
        <w:rPr>
          <w:b/>
          <w:sz w:val="28"/>
          <w:szCs w:val="28"/>
        </w:rPr>
        <w:t>Oktober 2008</w:t>
      </w:r>
      <w:bookmarkEnd w:id="0"/>
    </w:p>
    <w:p>
      <w:pPr>
        <w:pStyle w:val="Normal"/>
        <w:rPr/>
      </w:pPr>
      <w:r>
        <w:rPr/>
      </w:r>
    </w:p>
    <w:p>
      <w:pPr>
        <w:pStyle w:val="Normal"/>
        <w:rPr/>
      </w:pPr>
      <w:r>
        <w:rPr/>
        <w:t>Damgaard Rådgivende Ingeniører A/S</w:t>
        <w:tab/>
        <w:t>Telefon:</w:t>
        <w:tab/>
        <w:t>46 32 04 70</w:t>
      </w:r>
    </w:p>
    <w:p>
      <w:pPr>
        <w:pStyle w:val="Normal"/>
        <w:rPr/>
      </w:pPr>
      <w:r>
        <w:rPr/>
        <w:t>Algade 43</w:t>
        <w:tab/>
        <w:tab/>
        <w:tab/>
        <w:t xml:space="preserve">Fax: </w:t>
        <w:tab/>
        <w:t>46 32 04 77</w:t>
      </w:r>
    </w:p>
    <w:p>
      <w:pPr>
        <w:pStyle w:val="Normal"/>
        <w:ind w:end="-144" w:hanging="0"/>
        <w:rPr/>
      </w:pPr>
      <w:r>
        <w:rPr/>
        <w:t>4000 Roskilde</w:t>
        <w:tab/>
        <w:tab/>
        <w:tab/>
        <w:t>e-mail:</w:t>
        <w:tab/>
        <w:t>post@damgard-as.dk</w:t>
      </w:r>
      <w:r>
        <w:br w:type="page"/>
      </w:r>
    </w:p>
    <w:p>
      <w:pPr>
        <w:pStyle w:val="Normal"/>
        <w:tabs>
          <w:tab w:val="right" w:pos="7086" w:leader="none"/>
        </w:tabs>
        <w:rPr>
          <w:b/>
          <w:b/>
          <w:sz w:val="24"/>
        </w:rPr>
      </w:pPr>
      <w:r>
        <w:rPr>
          <w:b/>
          <w:sz w:val="24"/>
        </w:rPr>
        <w:t>INDHOLDSFORTEGNELSE</w:t>
        <w:tab/>
        <w:t>SIDE</w:t>
      </w:r>
    </w:p>
    <w:p>
      <w:pPr>
        <w:pStyle w:val="Normal"/>
        <w:tabs>
          <w:tab w:val="right" w:pos="7086" w:leader="none"/>
        </w:tabs>
        <w:rPr>
          <w:b/>
          <w:b/>
          <w:sz w:val="28"/>
        </w:rPr>
      </w:pPr>
      <w:r>
        <w:rPr>
          <w:b/>
          <w:sz w:val="28"/>
        </w:rPr>
      </w:r>
    </w:p>
    <w:p>
      <w:pPr>
        <w:pStyle w:val="Contents1"/>
        <w:rPr/>
      </w:pPr>
      <w:r>
        <w:fldChar w:fldCharType="begin"/>
      </w:r>
      <w:r>
        <w:rPr/>
        <w:instrText> TOC \o "1-3" </w:instrText>
      </w:r>
      <w:r>
        <w:rPr/>
        <w:fldChar w:fldCharType="separate"/>
      </w:r>
      <w:r>
        <w:rPr/>
        <w:t>1</w:t>
        <w:tab/>
        <w:t>Indledning</w:t>
        <w:tab/>
        <w:t>4</w:t>
      </w:r>
    </w:p>
    <w:p>
      <w:pPr>
        <w:pStyle w:val="Normal"/>
        <w:rPr/>
      </w:pPr>
      <w:r>
        <w:rPr/>
      </w:r>
    </w:p>
    <w:p>
      <w:pPr>
        <w:pStyle w:val="Contents1"/>
        <w:rPr/>
      </w:pPr>
      <w:r>
        <w:rPr/>
        <w:t>2</w:t>
        <w:tab/>
        <w:t>Generelle oplysninger om ejendommen</w:t>
        <w:tab/>
        <w:t>4</w:t>
      </w:r>
      <w:r>
        <w:rPr/>
        <w:fldChar w:fldCharType="end"/>
      </w:r>
    </w:p>
    <w:p>
      <w:pPr>
        <w:pStyle w:val="Contents3"/>
        <w:rPr>
          <w:sz w:val="24"/>
          <w:szCs w:val="24"/>
        </w:rPr>
      </w:pPr>
      <w:r>
        <w:rPr>
          <w:sz w:val="24"/>
          <w:szCs w:val="24"/>
        </w:rPr>
      </w:r>
    </w:p>
    <w:p>
      <w:pPr>
        <w:pStyle w:val="Contents1"/>
        <w:rPr>
          <w:szCs w:val="24"/>
        </w:rPr>
      </w:pPr>
      <w:r>
        <w:fldChar w:fldCharType="begin"/>
      </w:r>
      <w:r>
        <w:rPr>
          <w:szCs w:val="24"/>
        </w:rPr>
        <w:instrText> TOC \o "1-3" </w:instrText>
      </w:r>
      <w:r>
        <w:rPr>
          <w:szCs w:val="24"/>
        </w:rPr>
        <w:fldChar w:fldCharType="separate"/>
      </w:r>
      <w:r>
        <w:rPr>
          <w:szCs w:val="24"/>
        </w:rPr>
        <w:t>3</w:t>
        <w:tab/>
        <w:t>Konklusion, prioritering af indsatsområder</w:t>
        <w:tab/>
        <w:t>5</w:t>
      </w:r>
    </w:p>
    <w:p>
      <w:pPr>
        <w:pStyle w:val="Contents1"/>
        <w:rPr>
          <w:szCs w:val="24"/>
        </w:rPr>
      </w:pPr>
      <w:r>
        <w:rPr>
          <w:szCs w:val="24"/>
        </w:rPr>
      </w:r>
    </w:p>
    <w:p>
      <w:pPr>
        <w:pStyle w:val="Contents1"/>
        <w:rPr>
          <w:szCs w:val="24"/>
        </w:rPr>
      </w:pPr>
      <w:r>
        <w:rPr>
          <w:szCs w:val="24"/>
        </w:rPr>
        <w:t>4</w:t>
        <w:tab/>
        <w:t>Bygningsdelskort og generelle bemærkninger</w:t>
        <w:tab/>
        <w:t>7</w:t>
      </w:r>
    </w:p>
    <w:p>
      <w:pPr>
        <w:pStyle w:val="Contents1"/>
        <w:rPr>
          <w:szCs w:val="24"/>
        </w:rPr>
      </w:pPr>
      <w:r>
        <w:rPr>
          <w:szCs w:val="24"/>
        </w:rPr>
      </w:r>
      <w:r>
        <w:rPr>
          <w:szCs w:val="24"/>
        </w:rPr>
        <w:fldChar w:fldCharType="end"/>
      </w:r>
    </w:p>
    <w:p>
      <w:pPr>
        <w:pStyle w:val="Contents1"/>
        <w:rPr>
          <w:szCs w:val="24"/>
        </w:rPr>
      </w:pPr>
      <w:r>
        <w:rPr>
          <w:szCs w:val="24"/>
        </w:rPr>
        <w:t>5</w:t>
        <w:tab/>
        <w:t>10 – års driftsbudget og aktivitetsplan</w:t>
        <w:tab/>
        <w:t>8</w:t>
      </w:r>
    </w:p>
    <w:p>
      <w:pPr>
        <w:pStyle w:val="Contents1"/>
        <w:rPr>
          <w:szCs w:val="24"/>
        </w:rPr>
      </w:pPr>
      <w:r>
        <w:rPr>
          <w:szCs w:val="24"/>
        </w:rPr>
      </w:r>
    </w:p>
    <w:p>
      <w:pPr>
        <w:pStyle w:val="Contents1"/>
        <w:rPr>
          <w:szCs w:val="24"/>
        </w:rPr>
      </w:pPr>
      <w:r>
        <w:rPr>
          <w:szCs w:val="24"/>
        </w:rPr>
        <w:t>Bilag / bilagsliste</w:t>
        <w:tab/>
        <w:t>10</w:t>
      </w:r>
    </w:p>
    <w:p>
      <w:pPr>
        <w:pStyle w:val="Normal"/>
        <w:rPr>
          <w:szCs w:val="24"/>
        </w:rPr>
      </w:pPr>
      <w:r>
        <w:rPr>
          <w:szCs w:val="24"/>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Heading1"/>
        <w:numPr>
          <w:ilvl w:val="0"/>
          <w:numId w:val="0"/>
        </w:numPr>
        <w:tabs>
          <w:tab w:val="left" w:pos="709" w:leader="none"/>
        </w:tabs>
        <w:ind w:start="703" w:hanging="703"/>
        <w:rPr>
          <w:sz w:val="22"/>
          <w:szCs w:val="22"/>
        </w:rPr>
      </w:pPr>
      <w:r>
        <w:rPr>
          <w:sz w:val="22"/>
          <w:szCs w:val="22"/>
        </w:rPr>
        <w:t>Bygherre:</w:t>
      </w:r>
    </w:p>
    <w:p>
      <w:pPr>
        <w:pStyle w:val="Heading1"/>
        <w:numPr>
          <w:ilvl w:val="0"/>
          <w:numId w:val="0"/>
        </w:numPr>
        <w:tabs>
          <w:tab w:val="left" w:pos="709" w:leader="none"/>
        </w:tabs>
        <w:ind w:start="703" w:hanging="703"/>
        <w:rPr/>
      </w:pPr>
      <w:r>
        <w:rPr>
          <w:b w:val="false"/>
          <w:sz w:val="22"/>
          <w:szCs w:val="22"/>
        </w:rPr>
        <w:t>Andelsbofællesskabet Jystrup Savværk</w:t>
        <w:tab/>
      </w:r>
    </w:p>
    <w:p>
      <w:pPr>
        <w:pStyle w:val="Normal"/>
        <w:rPr/>
      </w:pPr>
      <w:r>
        <w:rPr/>
        <w:t>Skjoldenæsvej 36</w:t>
      </w:r>
    </w:p>
    <w:p>
      <w:pPr>
        <w:pStyle w:val="Normal"/>
        <w:rPr/>
      </w:pPr>
      <w:r>
        <w:rPr/>
        <w:t>4174 Jystrup Midtsj</w:t>
      </w:r>
    </w:p>
    <w:p>
      <w:pPr>
        <w:pStyle w:val="Normal"/>
        <w:rPr>
          <w:highlight w:val="yellow"/>
        </w:rPr>
      </w:pPr>
      <w:r>
        <w:rPr>
          <w:highlight w:val="yellow"/>
        </w:rPr>
      </w:r>
    </w:p>
    <w:p>
      <w:pPr>
        <w:pStyle w:val="Normal"/>
        <w:rPr/>
      </w:pPr>
      <w:r>
        <w:rPr/>
        <w:t>Kontaktperson: Kristian Schou / Jørn Hjuler</w:t>
      </w:r>
    </w:p>
    <w:p>
      <w:pPr>
        <w:pStyle w:val="Normal"/>
        <w:rPr/>
      </w:pPr>
      <w:r>
        <w:rPr/>
      </w:r>
    </w:p>
    <w:p>
      <w:pPr>
        <w:pStyle w:val="Normal"/>
        <w:rPr/>
      </w:pPr>
      <w:r>
        <w:rPr/>
      </w:r>
    </w:p>
    <w:p>
      <w:pPr>
        <w:pStyle w:val="Normal"/>
        <w:rPr/>
      </w:pPr>
      <w:r>
        <w:rPr>
          <w:b/>
        </w:rPr>
        <w:t>Rapport udarbejdet af:</w:t>
      </w:r>
    </w:p>
    <w:p>
      <w:pPr>
        <w:pStyle w:val="Normal"/>
        <w:rPr>
          <w:b/>
          <w:b/>
        </w:rPr>
      </w:pPr>
      <w:r>
        <w:rPr>
          <w:b/>
        </w:rPr>
      </w:r>
    </w:p>
    <w:p>
      <w:pPr>
        <w:pStyle w:val="Normal"/>
        <w:tabs>
          <w:tab w:val="left" w:pos="3969" w:leader="none"/>
          <w:tab w:val="left" w:pos="5103" w:leader="none"/>
        </w:tabs>
        <w:rPr/>
      </w:pPr>
      <w:r>
        <w:rPr/>
        <w:t>Damgaard Rådgivende Ingeniører A/S</w:t>
        <w:tab/>
        <w:t>Telefon:</w:t>
        <w:tab/>
        <w:tab/>
        <w:t>46 32 04 70</w:t>
      </w:r>
    </w:p>
    <w:p>
      <w:pPr>
        <w:pStyle w:val="Normal"/>
        <w:tabs>
          <w:tab w:val="left" w:pos="3969" w:leader="none"/>
          <w:tab w:val="left" w:pos="5103" w:leader="none"/>
        </w:tabs>
        <w:rPr/>
      </w:pPr>
      <w:r>
        <w:rPr/>
        <w:t>Algade 43</w:t>
        <w:tab/>
        <w:t>Fax:</w:t>
        <w:tab/>
        <w:tab/>
        <w:t>46 32 04 77</w:t>
      </w:r>
    </w:p>
    <w:p>
      <w:pPr>
        <w:pStyle w:val="Normal"/>
        <w:rPr/>
      </w:pPr>
      <w:r>
        <w:rPr/>
        <w:t>4000 Roskilde</w:t>
        <w:tab/>
        <w:tab/>
        <w:tab/>
        <w:t>Mail:</w:t>
        <w:tab/>
      </w:r>
      <w:hyperlink r:id="rId3">
        <w:r>
          <w:rPr>
            <w:rStyle w:val="InternetLink"/>
          </w:rPr>
          <w:t>post@damgaard-as.dk</w:t>
        </w:r>
      </w:hyperlink>
    </w:p>
    <w:p>
      <w:pPr>
        <w:pStyle w:val="Normal"/>
        <w:rPr/>
      </w:pPr>
      <w:r>
        <w:rPr/>
      </w:r>
    </w:p>
    <w:p>
      <w:pPr>
        <w:pStyle w:val="Normal"/>
        <w:tabs>
          <w:tab w:val="left" w:pos="3969" w:leader="none"/>
          <w:tab w:val="left" w:pos="5103" w:leader="none"/>
        </w:tabs>
        <w:rPr/>
      </w:pPr>
      <w:r>
        <w:rPr/>
        <w:t>Kontaktpersoner:</w:t>
      </w:r>
    </w:p>
    <w:p>
      <w:pPr>
        <w:pStyle w:val="Normal"/>
        <w:tabs>
          <w:tab w:val="left" w:pos="3969" w:leader="none"/>
          <w:tab w:val="left" w:pos="5103" w:leader="none"/>
        </w:tabs>
        <w:rPr/>
      </w:pPr>
      <w:r>
        <w:rPr/>
        <w:t>Per Fjordbak Hansen (</w:t>
      </w:r>
      <w:hyperlink r:id="rId4">
        <w:r>
          <w:rPr>
            <w:rStyle w:val="InternetLink"/>
          </w:rPr>
          <w:t>pfh@damgaard-as.dk</w:t>
        </w:r>
      </w:hyperlink>
      <w:r>
        <w:rPr/>
        <w:t>) ,</w:t>
      </w:r>
    </w:p>
    <w:p>
      <w:pPr>
        <w:pStyle w:val="Normal"/>
        <w:tabs>
          <w:tab w:val="left" w:pos="3969" w:leader="none"/>
          <w:tab w:val="left" w:pos="5103" w:leader="none"/>
        </w:tabs>
        <w:rPr/>
      </w:pPr>
      <w:r>
        <w:rPr/>
        <w:t>Jonna B. Nielsen (</w:t>
      </w:r>
      <w:hyperlink r:id="rId5">
        <w:r>
          <w:rPr>
            <w:rStyle w:val="InternetLink"/>
          </w:rPr>
          <w:t>jbn@damgaard-as.dk</w:t>
        </w:r>
      </w:hyperlink>
      <w:r>
        <w:rPr/>
        <w:t>) og</w:t>
      </w:r>
    </w:p>
    <w:p>
      <w:pPr>
        <w:pStyle w:val="Normal"/>
        <w:tabs>
          <w:tab w:val="left" w:pos="3969" w:leader="none"/>
          <w:tab w:val="left" w:pos="5103" w:leader="none"/>
        </w:tabs>
        <w:rPr/>
      </w:pPr>
      <w:r>
        <w:rPr/>
        <w:t>Jesper Jespersen (</w:t>
      </w:r>
      <w:hyperlink r:id="rId6">
        <w:r>
          <w:rPr>
            <w:rStyle w:val="InternetLink"/>
          </w:rPr>
          <w:t>jej@damgaard-as.dk</w:t>
        </w:r>
      </w:hyperlink>
      <w:r>
        <w:rPr/>
        <w:t>)</w:t>
      </w:r>
    </w:p>
    <w:p>
      <w:pPr>
        <w:pStyle w:val="Normal"/>
        <w:rPr>
          <w:b/>
          <w:b/>
        </w:rPr>
      </w:pPr>
      <w:r>
        <w:rPr>
          <w:b/>
        </w:rPr>
      </w:r>
    </w:p>
    <w:p>
      <w:pPr>
        <w:pStyle w:val="Normal"/>
        <w:rPr>
          <w:b/>
          <w:b/>
        </w:rPr>
      </w:pPr>
      <w:r>
        <w:rPr>
          <w:b/>
        </w:rPr>
      </w:r>
      <w:r>
        <w:br w:type="page"/>
      </w:r>
    </w:p>
    <w:p>
      <w:pPr>
        <w:pStyle w:val="Heading1"/>
        <w:numPr>
          <w:ilvl w:val="0"/>
          <w:numId w:val="0"/>
        </w:numPr>
        <w:tabs>
          <w:tab w:val="left" w:pos="709" w:leader="none"/>
        </w:tabs>
        <w:ind w:start="360" w:hanging="0"/>
        <w:rPr/>
      </w:pPr>
      <w:r>
        <w:rPr/>
        <w:t>1. Indledning</w:t>
      </w:r>
    </w:p>
    <w:p>
      <w:pPr>
        <w:pStyle w:val="Normal"/>
        <w:rPr/>
      </w:pPr>
      <w:r>
        <w:rPr/>
      </w:r>
    </w:p>
    <w:p>
      <w:pPr>
        <w:pStyle w:val="Normal"/>
        <w:ind w:start="709" w:hanging="0"/>
        <w:rPr>
          <w:b/>
          <w:b/>
        </w:rPr>
      </w:pPr>
      <w:r>
        <w:rPr>
          <w:b/>
        </w:rPr>
        <w:t>Formål med rapporten</w:t>
      </w:r>
    </w:p>
    <w:p>
      <w:pPr>
        <w:pStyle w:val="Normal"/>
        <w:ind w:start="709" w:hanging="0"/>
        <w:rPr>
          <w:b/>
          <w:b/>
        </w:rPr>
      </w:pPr>
      <w:r>
        <w:rPr>
          <w:b/>
        </w:rPr>
      </w:r>
    </w:p>
    <w:p>
      <w:pPr>
        <w:pStyle w:val="Normal"/>
        <w:ind w:start="709" w:hanging="0"/>
        <w:rPr/>
      </w:pPr>
      <w:r>
        <w:rPr/>
        <w:t>Nærværende rapport er udarbejdet på baggrund af Jystrup Savværk´s ønske om for bebyggelsen Jystrup Savværk, løbende at kunne afsætte passende midler til driftsrutiner, vedligeholdelse samt fornyelser over en mere langsigtet periode.</w:t>
      </w:r>
    </w:p>
    <w:p>
      <w:pPr>
        <w:pStyle w:val="Normal"/>
        <w:ind w:start="709" w:hanging="0"/>
        <w:rPr/>
      </w:pPr>
      <w:r>
        <w:rPr/>
      </w:r>
    </w:p>
    <w:p>
      <w:pPr>
        <w:pStyle w:val="Normal"/>
        <w:ind w:start="709" w:hanging="0"/>
        <w:rPr/>
      </w:pPr>
      <w:r>
        <w:rPr/>
        <w:t xml:space="preserve">Damgaard Rådgivende Ingeniører A/S er i forbindelse hermed rekvireret til at forestå udarbejdelsen af drift- og vedligeholdelsesplan for en tiårig periode. </w:t>
      </w:r>
    </w:p>
    <w:p>
      <w:pPr>
        <w:pStyle w:val="Normal"/>
        <w:ind w:start="709" w:hanging="0"/>
        <w:rPr/>
      </w:pPr>
      <w:r>
        <w:rPr/>
      </w:r>
    </w:p>
    <w:p>
      <w:pPr>
        <w:pStyle w:val="Normal"/>
        <w:ind w:start="709" w:hanging="0"/>
        <w:rPr/>
      </w:pPr>
      <w:r>
        <w:rPr/>
        <w:t>Det anbefales at få planen justeret periodisk med et interval på et par år for at få korrigeret prisniveau, samt for periodisk at få et retvisende billede af ejendommens tilstand.</w:t>
      </w:r>
    </w:p>
    <w:p>
      <w:pPr>
        <w:pStyle w:val="Normal"/>
        <w:ind w:start="709" w:hanging="0"/>
        <w:rPr/>
      </w:pPr>
      <w:r>
        <w:rPr/>
      </w:r>
    </w:p>
    <w:p>
      <w:pPr>
        <w:pStyle w:val="Normal"/>
        <w:ind w:start="710" w:hanging="0"/>
        <w:rPr>
          <w:b/>
          <w:b/>
        </w:rPr>
      </w:pPr>
      <w:r>
        <w:rPr>
          <w:b/>
        </w:rPr>
        <w:t>Besigtigelsen</w:t>
      </w:r>
    </w:p>
    <w:p>
      <w:pPr>
        <w:pStyle w:val="Normal"/>
        <w:ind w:start="709" w:hanging="0"/>
        <w:rPr>
          <w:b/>
          <w:b/>
        </w:rPr>
      </w:pPr>
      <w:r>
        <w:rPr>
          <w:b/>
        </w:rPr>
      </w:r>
    </w:p>
    <w:p>
      <w:pPr>
        <w:pStyle w:val="Normal"/>
        <w:ind w:start="709" w:hanging="0"/>
        <w:rPr/>
      </w:pPr>
      <w:r>
        <w:rPr/>
        <w:t>Besigtigelsen af ejendommen er foretaget efter indledende møde medio</w:t>
      </w:r>
      <w:r>
        <w:rPr>
          <w:highlight w:val="yellow"/>
        </w:rPr>
        <w:t xml:space="preserve"> </w:t>
      </w:r>
      <w:r>
        <w:rPr/>
        <w:t>maj 2008 med Gerry Groenemeijer og Jørn Hjuler.</w:t>
      </w:r>
    </w:p>
    <w:p>
      <w:pPr>
        <w:pStyle w:val="Normal"/>
        <w:ind w:start="709" w:hanging="0"/>
        <w:rPr/>
      </w:pPr>
      <w:r>
        <w:rPr/>
      </w:r>
    </w:p>
    <w:p>
      <w:pPr>
        <w:pStyle w:val="Normal"/>
        <w:ind w:start="709" w:hanging="0"/>
        <w:rPr/>
      </w:pPr>
      <w:r>
        <w:rPr/>
        <w:t>Besigtigelsen har omfattet en udvendig registrering af bygningens klimaskærm, trapper, varmecentral samt af øvrige fællesarealer. Øvrige bygninger på ejendommen der ikke er indeholdt beboelse er som aftalt med bestyrelsen ikke besigtiget eller inkluderet i rapporten.</w:t>
      </w:r>
    </w:p>
    <w:p>
      <w:pPr>
        <w:pStyle w:val="Normal"/>
        <w:ind w:start="709" w:hanging="0"/>
        <w:rPr/>
      </w:pPr>
      <w:r>
        <w:rPr/>
      </w:r>
    </w:p>
    <w:p>
      <w:pPr>
        <w:pStyle w:val="Normal"/>
        <w:ind w:start="709" w:hanging="0"/>
        <w:rPr/>
      </w:pPr>
      <w:r>
        <w:rPr/>
        <w:t>Fra Damgaard Rådgivende Ingeniører A/S har følgende medarbejdere medvirket ved registreringen:</w:t>
      </w:r>
    </w:p>
    <w:p>
      <w:pPr>
        <w:pStyle w:val="Normal"/>
        <w:ind w:start="709" w:hanging="0"/>
        <w:rPr/>
      </w:pPr>
      <w:r>
        <w:rPr/>
      </w:r>
    </w:p>
    <w:p>
      <w:pPr>
        <w:pStyle w:val="Normal"/>
        <w:ind w:start="709" w:hanging="0"/>
        <w:rPr/>
      </w:pPr>
      <w:r>
        <w:rPr/>
        <w:t>Ingeniør Jonna B. Nielsen</w:t>
        <w:tab/>
        <w:t>Bygningsingeniør, DV</w:t>
      </w:r>
    </w:p>
    <w:p>
      <w:pPr>
        <w:pStyle w:val="Normal"/>
        <w:ind w:start="709" w:hanging="0"/>
        <w:rPr/>
      </w:pPr>
      <w:r>
        <w:rPr/>
        <w:t>Ingeniør Jesper Jespersen</w:t>
        <w:tab/>
        <w:t xml:space="preserve">VVS ingeniør og energikonsulent. </w:t>
      </w:r>
    </w:p>
    <w:p>
      <w:pPr>
        <w:pStyle w:val="Normal"/>
        <w:ind w:start="709" w:hanging="0"/>
        <w:rPr/>
      </w:pPr>
      <w:r>
        <w:rPr/>
        <w:t>Konstruktør Per Fjordbak Hansen</w:t>
        <w:tab/>
        <w:t xml:space="preserve">Granskning af byggeteknik m.v. </w:t>
      </w:r>
    </w:p>
    <w:p>
      <w:pPr>
        <w:pStyle w:val="Normal"/>
        <w:ind w:start="709" w:hanging="0"/>
        <w:rPr/>
      </w:pPr>
      <w:r>
        <w:rPr/>
      </w:r>
    </w:p>
    <w:p>
      <w:pPr>
        <w:pStyle w:val="Normal"/>
        <w:ind w:start="710" w:hanging="0"/>
        <w:rPr>
          <w:b/>
          <w:b/>
        </w:rPr>
      </w:pPr>
      <w:r>
        <w:rPr>
          <w:b/>
        </w:rPr>
        <w:t>Rapportgrundlaget</w:t>
      </w:r>
    </w:p>
    <w:p>
      <w:pPr>
        <w:pStyle w:val="Normal"/>
        <w:ind w:start="709" w:hanging="0"/>
        <w:rPr>
          <w:b/>
          <w:b/>
        </w:rPr>
      </w:pPr>
      <w:r>
        <w:rPr>
          <w:b/>
        </w:rPr>
      </w:r>
    </w:p>
    <w:p>
      <w:pPr>
        <w:pStyle w:val="Normal"/>
        <w:numPr>
          <w:ilvl w:val="0"/>
          <w:numId w:val="2"/>
        </w:numPr>
        <w:rPr/>
      </w:pPr>
      <w:r>
        <w:rPr/>
        <w:t xml:space="preserve">Møder og besigtigelser på ejendommen. </w:t>
      </w:r>
    </w:p>
    <w:p>
      <w:pPr>
        <w:pStyle w:val="Normal"/>
        <w:numPr>
          <w:ilvl w:val="0"/>
          <w:numId w:val="2"/>
        </w:numPr>
        <w:rPr/>
      </w:pPr>
      <w:r>
        <w:rPr/>
        <w:t>Tegningsgrundlag fra Jystrup Savværk.</w:t>
      </w:r>
    </w:p>
    <w:p>
      <w:pPr>
        <w:pStyle w:val="Normal"/>
        <w:numPr>
          <w:ilvl w:val="0"/>
          <w:numId w:val="2"/>
        </w:numPr>
        <w:rPr/>
      </w:pPr>
      <w:r>
        <w:rPr/>
        <w:t>BBR ejer meddelelse.</w:t>
      </w:r>
    </w:p>
    <w:p>
      <w:pPr>
        <w:pStyle w:val="Normal"/>
        <w:ind w:start="709" w:hanging="0"/>
        <w:rPr/>
      </w:pPr>
      <w:r>
        <w:rPr/>
      </w:r>
    </w:p>
    <w:p>
      <w:pPr>
        <w:pStyle w:val="Normal"/>
        <w:ind w:start="709" w:hanging="0"/>
        <w:rPr/>
      </w:pPr>
      <w:r>
        <w:rPr/>
        <w:t>I tilknytning til nærværende rapport er udført energirapport og tv inspektion af kloakker.</w:t>
      </w:r>
    </w:p>
    <w:p>
      <w:pPr>
        <w:pStyle w:val="Normal"/>
        <w:ind w:start="709" w:hanging="0"/>
        <w:rPr/>
      </w:pPr>
      <w:r>
        <w:rPr/>
      </w:r>
    </w:p>
    <w:p>
      <w:pPr>
        <w:pStyle w:val="Normal"/>
        <w:ind w:start="709" w:hanging="0"/>
        <w:rPr/>
      </w:pPr>
      <w:r>
        <w:rPr/>
        <w:t>TV inspektion er udført af Leif M. Jensen A/S, Sydvestvej 70, 2600 Glostrup.  (LMJ –TV)</w:t>
      </w:r>
    </w:p>
    <w:p>
      <w:pPr>
        <w:pStyle w:val="Normal"/>
        <w:ind w:start="709" w:hanging="0"/>
        <w:rPr/>
      </w:pPr>
      <w:r>
        <w:rPr/>
      </w:r>
      <w:r>
        <w:br w:type="page"/>
      </w:r>
    </w:p>
    <w:p>
      <w:pPr>
        <w:pStyle w:val="Normal"/>
        <w:ind w:start="710" w:hanging="0"/>
        <w:rPr>
          <w:b/>
          <w:b/>
        </w:rPr>
      </w:pPr>
      <w:r>
        <w:rPr>
          <w:b/>
        </w:rPr>
        <w:t>Generelt vedr. prisoversigterne</w:t>
      </w:r>
    </w:p>
    <w:p>
      <w:pPr>
        <w:pStyle w:val="Normal"/>
        <w:ind w:start="709" w:hanging="0"/>
        <w:rPr>
          <w:b/>
          <w:b/>
        </w:rPr>
      </w:pPr>
      <w:r>
        <w:rPr>
          <w:b/>
        </w:rPr>
      </w:r>
    </w:p>
    <w:p>
      <w:pPr>
        <w:pStyle w:val="Normal"/>
        <w:ind w:start="709" w:hanging="0"/>
        <w:rPr/>
      </w:pPr>
      <w:r>
        <w:rPr/>
        <w:t xml:space="preserve">De foreslåede bygningsarbejder er prissat med erfaringspriser for håndværkerudgifter inklusiv 25 % moms (V&amp;S pris bøger), og der er således ikke indregnet teknikerhonorar på evt. projekt og tilsyn i forbindelse med arbejdernes udførelse. Priserne for renoveringsopgaver er generelt baseret på et skønnet omfang som normalt skal klarlægges ved udarbejdelsen af projektforslag. </w:t>
      </w:r>
    </w:p>
    <w:p>
      <w:pPr>
        <w:pStyle w:val="Normal"/>
        <w:ind w:start="709" w:hanging="0"/>
        <w:rPr/>
      </w:pPr>
      <w:r>
        <w:rPr/>
      </w:r>
    </w:p>
    <w:p>
      <w:pPr>
        <w:pStyle w:val="Normal"/>
        <w:ind w:start="709" w:hanging="0"/>
        <w:rPr/>
      </w:pPr>
      <w:r>
        <w:rPr/>
        <w:t>For de arbejder som kræver teknikerbistand, vil teknikerhonorarets størrelse afhænge af arbejdets samlede omfang og i hvilket omfang der ordres samlet eller som enkelte delopgaver, - men som udgangspunkt bør afsættes ca. 10 - 12 % af håndværkerudgiften.</w:t>
      </w:r>
    </w:p>
    <w:p>
      <w:pPr>
        <w:pStyle w:val="Normal"/>
        <w:ind w:start="709" w:hanging="0"/>
        <w:rPr/>
      </w:pPr>
      <w:r>
        <w:rPr/>
      </w:r>
    </w:p>
    <w:p>
      <w:pPr>
        <w:pStyle w:val="Normal"/>
        <w:ind w:start="709" w:hanging="0"/>
        <w:rPr/>
      </w:pPr>
      <w:r>
        <w:rPr/>
        <w:t>Udgifterne til afhjælpning af skader er baseret på et skøn, baseret på de konkrete iagttagelser man har kunnet gøre ved registreringen samt på de erfaringer man har for en ejendom af tilsvarende karakter.</w:t>
      </w:r>
    </w:p>
    <w:p>
      <w:pPr>
        <w:pStyle w:val="Normal"/>
        <w:ind w:start="709" w:hanging="0"/>
        <w:rPr/>
      </w:pPr>
      <w:r>
        <w:rPr/>
      </w:r>
    </w:p>
    <w:p>
      <w:pPr>
        <w:pStyle w:val="Normal"/>
        <w:ind w:start="709" w:hanging="0"/>
        <w:rPr/>
      </w:pPr>
      <w:r>
        <w:rPr/>
        <w:t xml:space="preserve">Prisniveau er angivet efter V&amp;S pris bøger </w:t>
      </w:r>
      <w:r>
        <w:rPr>
          <w:b/>
          <w:color w:val="000000"/>
        </w:rPr>
        <w:t>indeks 2. kvartal 2008</w:t>
      </w:r>
      <w:r>
        <w:rPr>
          <w:color w:val="FF6600"/>
        </w:rPr>
        <w:t>.</w:t>
      </w:r>
    </w:p>
    <w:p>
      <w:pPr>
        <w:pStyle w:val="Heading1"/>
        <w:numPr>
          <w:ilvl w:val="0"/>
          <w:numId w:val="1"/>
        </w:numPr>
        <w:rPr/>
      </w:pPr>
      <w:r>
        <w:rPr/>
        <w:t>Generelle oplysninger om ejendommen</w:t>
      </w:r>
    </w:p>
    <w:p>
      <w:pPr>
        <w:pStyle w:val="Normal"/>
        <w:rPr/>
      </w:pPr>
      <w:r>
        <w:rPr/>
      </w:r>
    </w:p>
    <w:p>
      <w:pPr>
        <w:pStyle w:val="Normal"/>
        <w:tabs>
          <w:tab w:val="left" w:pos="3261" w:leader="none"/>
        </w:tabs>
        <w:ind w:start="703" w:hanging="0"/>
        <w:rPr/>
      </w:pPr>
      <w:r>
        <w:rPr/>
        <w:t>Adresse:</w:t>
        <w:tab/>
        <w:t>Skjoldenæsvej 36, bolig 1-28</w:t>
      </w:r>
    </w:p>
    <w:p>
      <w:pPr>
        <w:pStyle w:val="Normal"/>
        <w:ind w:start="703" w:hanging="0"/>
        <w:rPr/>
      </w:pPr>
      <w:r>
        <w:rPr/>
      </w:r>
    </w:p>
    <w:p>
      <w:pPr>
        <w:pStyle w:val="Normal"/>
        <w:tabs>
          <w:tab w:val="left" w:pos="3261" w:leader="none"/>
        </w:tabs>
        <w:ind w:start="703" w:hanging="0"/>
        <w:rPr>
          <w:lang w:val="en-GB"/>
        </w:rPr>
      </w:pPr>
      <w:r>
        <w:rPr>
          <w:lang w:val="en-GB"/>
        </w:rPr>
        <w:t>Matr. nr.:</w:t>
        <w:tab/>
        <w:t>7 K Jystrup By, Jystrup</w:t>
      </w:r>
    </w:p>
    <w:p>
      <w:pPr>
        <w:pStyle w:val="Normal"/>
        <w:ind w:start="703" w:hanging="0"/>
        <w:rPr>
          <w:lang w:val="en-GB"/>
        </w:rPr>
      </w:pPr>
      <w:r>
        <w:rPr>
          <w:lang w:val="en-GB"/>
        </w:rPr>
      </w:r>
    </w:p>
    <w:p>
      <w:pPr>
        <w:pStyle w:val="Normal"/>
        <w:tabs>
          <w:tab w:val="left" w:pos="3261" w:leader="none"/>
        </w:tabs>
        <w:ind w:start="703" w:hanging="0"/>
        <w:rPr/>
      </w:pPr>
      <w:r>
        <w:rPr/>
        <w:t>Boligkategori</w:t>
        <w:tab/>
        <w:t>Andelsboliger</w:t>
      </w:r>
    </w:p>
    <w:p>
      <w:pPr>
        <w:pStyle w:val="Normal"/>
        <w:ind w:start="703" w:hanging="0"/>
        <w:rPr/>
      </w:pPr>
      <w:r>
        <w:rPr/>
      </w:r>
    </w:p>
    <w:p>
      <w:pPr>
        <w:pStyle w:val="Normal"/>
        <w:tabs>
          <w:tab w:val="left" w:pos="3261" w:leader="none"/>
        </w:tabs>
        <w:ind w:start="703" w:hanging="0"/>
        <w:rPr/>
      </w:pPr>
      <w:r>
        <w:rPr/>
        <w:t>Ejer:</w:t>
        <w:tab/>
        <w:t>Andelsboligfællesskabet Jystrup Savværk</w:t>
      </w:r>
    </w:p>
    <w:p>
      <w:pPr>
        <w:pStyle w:val="Normal"/>
        <w:ind w:start="703" w:hanging="0"/>
        <w:rPr/>
      </w:pPr>
      <w:r>
        <w:rPr/>
      </w:r>
    </w:p>
    <w:p>
      <w:pPr>
        <w:pStyle w:val="Normal"/>
        <w:tabs>
          <w:tab w:val="left" w:pos="3261" w:leader="none"/>
        </w:tabs>
        <w:ind w:start="703" w:hanging="0"/>
        <w:rPr/>
      </w:pPr>
      <w:r>
        <w:rPr/>
        <w:t>Administrator</w:t>
        <w:tab/>
        <w:t>Jystrup Savværk</w:t>
      </w:r>
    </w:p>
    <w:p>
      <w:pPr>
        <w:pStyle w:val="Normal"/>
        <w:ind w:start="703" w:hanging="0"/>
        <w:rPr/>
      </w:pPr>
      <w:r>
        <w:rPr/>
      </w:r>
    </w:p>
    <w:p>
      <w:pPr>
        <w:pStyle w:val="Normal"/>
        <w:tabs>
          <w:tab w:val="left" w:pos="3261" w:leader="none"/>
        </w:tabs>
        <w:ind w:start="703" w:hanging="0"/>
        <w:rPr/>
      </w:pPr>
      <w:r>
        <w:rPr/>
        <w:t>Ejendoms nr.</w:t>
        <w:tab/>
        <w:t>106225</w:t>
      </w:r>
    </w:p>
    <w:p>
      <w:pPr>
        <w:pStyle w:val="Normal"/>
        <w:ind w:start="703" w:hanging="0"/>
        <w:rPr/>
      </w:pPr>
      <w:r>
        <w:rPr/>
      </w:r>
    </w:p>
    <w:p>
      <w:pPr>
        <w:pStyle w:val="Normal"/>
        <w:tabs>
          <w:tab w:val="left" w:pos="3261" w:leader="none"/>
        </w:tabs>
        <w:ind w:start="703" w:hanging="0"/>
        <w:rPr/>
      </w:pPr>
      <w:r>
        <w:rPr/>
        <w:t>Opførelses år</w:t>
        <w:tab/>
        <w:t>1984</w:t>
      </w:r>
    </w:p>
    <w:p>
      <w:pPr>
        <w:pStyle w:val="Normal"/>
        <w:ind w:start="703" w:hanging="0"/>
        <w:rPr/>
      </w:pPr>
      <w:r>
        <w:rPr/>
      </w:r>
    </w:p>
    <w:p>
      <w:pPr>
        <w:pStyle w:val="Normal"/>
        <w:tabs>
          <w:tab w:val="left" w:pos="3261" w:leader="none"/>
        </w:tabs>
        <w:ind w:start="703" w:hanging="0"/>
        <w:rPr/>
      </w:pPr>
      <w:r>
        <w:rPr/>
        <w:t>Antal etager:</w:t>
        <w:tab/>
        <w:t>2 beboelsesetager, samt forskudt etage.</w:t>
      </w:r>
    </w:p>
    <w:p>
      <w:pPr>
        <w:pStyle w:val="Normal"/>
        <w:ind w:start="703" w:hanging="0"/>
        <w:rPr/>
      </w:pPr>
      <w:r>
        <w:rPr/>
      </w:r>
    </w:p>
    <w:p>
      <w:pPr>
        <w:pStyle w:val="Normal"/>
        <w:tabs>
          <w:tab w:val="left" w:pos="3261" w:leader="none"/>
        </w:tabs>
        <w:ind w:start="703" w:hanging="0"/>
        <w:rPr/>
      </w:pPr>
      <w:r>
        <w:rPr/>
        <w:t>Antal boliger</w:t>
        <w:tab/>
        <w:t>21</w:t>
      </w:r>
    </w:p>
    <w:p>
      <w:pPr>
        <w:pStyle w:val="Normal"/>
        <w:ind w:start="703" w:hanging="0"/>
        <w:rPr/>
      </w:pPr>
      <w:r>
        <w:rPr/>
      </w:r>
    </w:p>
    <w:p>
      <w:pPr>
        <w:pStyle w:val="Normal"/>
        <w:tabs>
          <w:tab w:val="left" w:pos="3261" w:leader="none"/>
        </w:tabs>
        <w:ind w:start="703" w:hanging="0"/>
        <w:rPr/>
      </w:pPr>
      <w:r>
        <w:rPr/>
        <w:t xml:space="preserve">Antal erhverv </w:t>
        <w:tab/>
        <w:t>0</w:t>
      </w:r>
    </w:p>
    <w:p>
      <w:pPr>
        <w:pStyle w:val="Normal"/>
        <w:rPr/>
      </w:pPr>
      <w:r>
        <w:rPr/>
      </w:r>
    </w:p>
    <w:p>
      <w:pPr>
        <w:pStyle w:val="Normal"/>
        <w:tabs>
          <w:tab w:val="left" w:pos="3261" w:leader="none"/>
        </w:tabs>
        <w:ind w:start="703" w:hanging="0"/>
        <w:rPr/>
      </w:pPr>
      <w:r>
        <w:rPr/>
        <w:t xml:space="preserve">Registrerings omfang </w:t>
        <w:tab/>
        <w:t>Udvendig registrering klimaskærm,</w:t>
        <w:tab/>
        <w:tab/>
        <w:t>Fællesareal og udvendig.</w:t>
      </w:r>
    </w:p>
    <w:p>
      <w:pPr>
        <w:pStyle w:val="Normal"/>
        <w:ind w:start="703" w:hanging="0"/>
        <w:rPr/>
      </w:pPr>
      <w:r>
        <w:rPr/>
      </w:r>
    </w:p>
    <w:p>
      <w:pPr>
        <w:pStyle w:val="Normal"/>
        <w:ind w:start="703" w:hanging="0"/>
        <w:rPr/>
      </w:pPr>
      <w:r>
        <w:rPr>
          <w:b/>
        </w:rPr>
        <w:t>Kort beskrivelse af ejendommen</w:t>
        <w:tab/>
      </w:r>
    </w:p>
    <w:p>
      <w:pPr>
        <w:pStyle w:val="Normal"/>
        <w:ind w:start="703" w:hanging="0"/>
        <w:rPr>
          <w:b/>
          <w:b/>
        </w:rPr>
      </w:pPr>
      <w:r>
        <w:rPr>
          <w:b/>
        </w:rPr>
      </w:r>
    </w:p>
    <w:p>
      <w:pPr>
        <w:pStyle w:val="Normal"/>
        <w:ind w:start="703" w:hanging="0"/>
        <w:rPr/>
      </w:pPr>
      <w:r>
        <w:rPr/>
        <w:t>Bebyggelsen Jystrup Savværk består af 2 længer med boliger på hver  side af gader beliggende i midten af længen. Længer mødes i fællesrum, med boliger på 1.etage. Facader er udført i teglsten og eternit på øst og nord vendt facade og træbeklædning på syd og vest vendte facader. Tagbeklædningen er det oprindelige materiale som asbestholdige bølgeeternitplader.</w:t>
      </w:r>
    </w:p>
    <w:p>
      <w:pPr>
        <w:pStyle w:val="Normal"/>
        <w:ind w:start="703" w:hanging="0"/>
        <w:rPr/>
      </w:pPr>
      <w:r>
        <w:rPr/>
      </w:r>
    </w:p>
    <w:p>
      <w:pPr>
        <w:pStyle w:val="Normal"/>
        <w:ind w:start="703" w:hanging="0"/>
        <w:rPr/>
      </w:pPr>
      <w:r>
        <w:rPr/>
        <w:t>Bebyggelsen har ifølge BBR-oplysninger et samlet bygningsareal på i alt 2.290 m</w:t>
      </w:r>
      <w:r>
        <w:rPr>
          <w:vertAlign w:val="superscript"/>
        </w:rPr>
        <w:t>2</w:t>
      </w:r>
      <w:r>
        <w:rPr/>
        <w:t xml:space="preserve"> samt udnyttet areal af tagetage på i alt 692 m².</w:t>
      </w:r>
    </w:p>
    <w:p>
      <w:pPr>
        <w:pStyle w:val="Normal"/>
        <w:ind w:start="703" w:hanging="0"/>
        <w:rPr/>
      </w:pPr>
      <w:r>
        <w:rPr/>
      </w:r>
    </w:p>
    <w:p>
      <w:pPr>
        <w:pStyle w:val="Normal"/>
        <w:ind w:start="703" w:hanging="0"/>
        <w:rPr/>
      </w:pPr>
      <w:r>
        <w:rPr/>
        <w:t>Bebyggelsens fordeling på de enkelte bolig blokke er som følger:</w:t>
      </w:r>
    </w:p>
    <w:p>
      <w:pPr>
        <w:pStyle w:val="Normal"/>
        <w:ind w:start="703" w:hanging="0"/>
        <w:rPr/>
      </w:pPr>
      <w:r>
        <w:rPr/>
      </w:r>
    </w:p>
    <w:p>
      <w:pPr>
        <w:pStyle w:val="Normal"/>
        <w:ind w:start="703" w:hanging="0"/>
        <w:rPr/>
      </w:pPr>
      <w:r>
        <w:rPr/>
        <w:t>Jystrup Savværk</w:t>
        <w:tab/>
        <w:tab/>
        <w:t>Boligareal udgør i alt 1861 m</w:t>
      </w:r>
      <w:r>
        <w:rPr>
          <w:vertAlign w:val="superscript"/>
        </w:rPr>
        <w:t>2</w:t>
      </w:r>
    </w:p>
    <w:p>
      <w:pPr>
        <w:pStyle w:val="Normal"/>
        <w:ind w:start="703" w:hanging="0"/>
        <w:rPr/>
      </w:pPr>
      <w:r>
        <w:rPr/>
        <w:tab/>
        <w:tab/>
        <w:tab/>
        <w:t>Areal af overdækning i alt 447 m²</w:t>
      </w:r>
    </w:p>
    <w:p>
      <w:pPr>
        <w:pStyle w:val="Normal"/>
        <w:ind w:start="703" w:hanging="0"/>
        <w:rPr/>
      </w:pPr>
      <w:r>
        <w:rPr/>
        <w:tab/>
        <w:tab/>
        <w:tab/>
      </w:r>
    </w:p>
    <w:p>
      <w:pPr>
        <w:pStyle w:val="Normal"/>
        <w:ind w:start="703" w:hanging="0"/>
        <w:rPr/>
      </w:pPr>
      <w:r>
        <w:rPr/>
        <w:t>Der er udført væsentlig om- eller tilbygning i 1996.</w:t>
      </w:r>
    </w:p>
    <w:p>
      <w:pPr>
        <w:pStyle w:val="Normal"/>
        <w:ind w:start="703" w:hanging="0"/>
        <w:rPr/>
      </w:pPr>
      <w:r>
        <w:rPr/>
      </w:r>
    </w:p>
    <w:p>
      <w:pPr>
        <w:pStyle w:val="Normal"/>
        <w:ind w:start="703" w:hanging="0"/>
        <w:rPr/>
      </w:pPr>
      <w:r>
        <w:rPr/>
        <w:t>Der er endvidere blevet udført ombygning i 2002 og 2006, hvilket ikke fremgår af BBR skrivelsen.</w:t>
      </w:r>
    </w:p>
    <w:p>
      <w:pPr>
        <w:pStyle w:val="Normal"/>
        <w:ind w:start="703" w:hanging="0"/>
        <w:rPr/>
      </w:pPr>
      <w:r>
        <w:rPr/>
      </w:r>
    </w:p>
    <w:p>
      <w:pPr>
        <w:pStyle w:val="Normal"/>
        <w:ind w:start="703" w:hanging="0"/>
        <w:rPr/>
      </w:pPr>
      <w:r>
        <w:rPr/>
        <w:t>Tidligere centralt oliefyrsanlæg for hele bebyggelsen er blevet udskiftet til gaskedelanlæg.</w:t>
      </w:r>
    </w:p>
    <w:p>
      <w:pPr>
        <w:pStyle w:val="Normal"/>
        <w:ind w:start="703" w:hanging="0"/>
        <w:rPr/>
      </w:pPr>
      <w:r>
        <w:rPr/>
      </w:r>
    </w:p>
    <w:p>
      <w:pPr>
        <w:pStyle w:val="Normal"/>
        <w:ind w:start="703" w:hanging="0"/>
        <w:rPr/>
      </w:pPr>
      <w:r>
        <w:rPr/>
        <w:t>Bolig i sydvendt gavl har fået bemyndigelse til at udføre tårn.</w:t>
      </w:r>
    </w:p>
    <w:p>
      <w:pPr>
        <w:pStyle w:val="Normal"/>
        <w:ind w:start="703" w:hanging="0"/>
        <w:rPr/>
      </w:pPr>
      <w:r>
        <w:rPr/>
      </w:r>
    </w:p>
    <w:p>
      <w:pPr>
        <w:pStyle w:val="Normal"/>
        <w:ind w:start="703" w:hanging="0"/>
        <w:rPr/>
      </w:pPr>
      <w:r>
        <w:rPr/>
        <w:t>Der er foretaget udskiftning af:</w:t>
      </w:r>
    </w:p>
    <w:p>
      <w:pPr>
        <w:pStyle w:val="Normal"/>
        <w:numPr>
          <w:ilvl w:val="0"/>
          <w:numId w:val="2"/>
        </w:numPr>
        <w:rPr/>
      </w:pPr>
      <w:r>
        <w:rPr/>
        <w:t>gulve og opsætning af nyt køkken i fællesrum.</w:t>
      </w:r>
    </w:p>
    <w:p>
      <w:pPr>
        <w:pStyle w:val="Normal"/>
        <w:numPr>
          <w:ilvl w:val="0"/>
          <w:numId w:val="2"/>
        </w:numPr>
        <w:rPr/>
      </w:pPr>
      <w:r>
        <w:rPr/>
        <w:t>udvendige døre med nye aluminiums rammer.</w:t>
      </w:r>
    </w:p>
    <w:p>
      <w:pPr>
        <w:pStyle w:val="Normal"/>
        <w:ind w:start="709" w:hanging="0"/>
        <w:rPr/>
      </w:pPr>
      <w:r>
        <w:rPr/>
      </w:r>
    </w:p>
    <w:p>
      <w:pPr>
        <w:pStyle w:val="Normal"/>
        <w:ind w:start="703" w:hanging="0"/>
        <w:rPr/>
      </w:pPr>
      <w:r>
        <w:rPr/>
        <w:t>Postkasseanlæg er etableret ved indgang til bebyggelsen.</w:t>
      </w:r>
    </w:p>
    <w:p>
      <w:pPr>
        <w:pStyle w:val="Normal"/>
        <w:ind w:start="703" w:hanging="0"/>
        <w:rPr/>
      </w:pPr>
      <w:r>
        <w:rPr/>
      </w:r>
    </w:p>
    <w:p>
      <w:pPr>
        <w:pStyle w:val="Heading1"/>
        <w:numPr>
          <w:ilvl w:val="0"/>
          <w:numId w:val="1"/>
        </w:numPr>
        <w:rPr/>
      </w:pPr>
      <w:r>
        <w:rPr/>
        <w:t>Konklusion, prioritering af indsatsområder</w:t>
      </w:r>
    </w:p>
    <w:p>
      <w:pPr>
        <w:pStyle w:val="Normal"/>
        <w:rPr/>
      </w:pPr>
      <w:r>
        <w:rPr/>
      </w:r>
    </w:p>
    <w:p>
      <w:pPr>
        <w:pStyle w:val="Normal"/>
        <w:tabs>
          <w:tab w:val="left" w:pos="709" w:leader="none"/>
        </w:tabs>
        <w:ind w:start="709" w:hanging="0"/>
        <w:rPr/>
      </w:pPr>
      <w:r>
        <w:rPr/>
        <w:t>I nedenstående opstilling findes en liste over de vedligeholdelsesopgaver som anbefales gennemført i prioriteret rækkefølge.  (udfyldes efter møde med brugergruppe som har driftsansvar). Omfatter væsentlige økonomi tunge poster.</w:t>
      </w:r>
    </w:p>
    <w:p>
      <w:pPr>
        <w:pStyle w:val="Normal"/>
        <w:rPr/>
      </w:pPr>
      <w:r>
        <w:rPr/>
      </w:r>
    </w:p>
    <w:p>
      <w:pPr>
        <w:pStyle w:val="Normal"/>
        <w:ind w:start="709" w:hanging="0"/>
        <w:rPr>
          <w:b/>
          <w:b/>
        </w:rPr>
      </w:pPr>
      <w:r>
        <w:rPr>
          <w:b/>
        </w:rPr>
        <w:t xml:space="preserve">A Bør udføres snarest. </w:t>
      </w:r>
    </w:p>
    <w:p>
      <w:pPr>
        <w:pStyle w:val="Normal"/>
        <w:ind w:start="709" w:hanging="0"/>
        <w:rPr/>
      </w:pPr>
      <w:r>
        <w:rPr/>
        <w:t>x</w:t>
      </w:r>
    </w:p>
    <w:p>
      <w:pPr>
        <w:pStyle w:val="Normal"/>
        <w:ind w:start="709" w:hanging="0"/>
        <w:rPr/>
      </w:pPr>
      <w:r>
        <w:rPr/>
        <w:t>x</w:t>
      </w:r>
    </w:p>
    <w:p>
      <w:pPr>
        <w:pStyle w:val="Normal"/>
        <w:ind w:start="709" w:hanging="0"/>
        <w:rPr/>
      </w:pPr>
      <w:r>
        <w:rPr/>
        <w:t>x</w:t>
      </w:r>
    </w:p>
    <w:p>
      <w:pPr>
        <w:pStyle w:val="Normal"/>
        <w:ind w:start="709" w:hanging="0"/>
        <w:rPr/>
      </w:pPr>
      <w:r>
        <w:rPr/>
      </w:r>
    </w:p>
    <w:p>
      <w:pPr>
        <w:pStyle w:val="Normal"/>
        <w:ind w:start="709" w:hanging="0"/>
        <w:rPr>
          <w:b/>
          <w:b/>
        </w:rPr>
      </w:pPr>
      <w:r>
        <w:rPr>
          <w:b/>
        </w:rPr>
        <w:t xml:space="preserve">B Bør udføres indenfor 1 år. </w:t>
      </w:r>
    </w:p>
    <w:p>
      <w:pPr>
        <w:pStyle w:val="Normal"/>
        <w:ind w:start="709" w:hanging="0"/>
        <w:rPr/>
      </w:pPr>
      <w:r>
        <w:rPr/>
        <w:t>Renovering af kloak, akutte arbejder samt projektforslag.</w:t>
      </w:r>
    </w:p>
    <w:p>
      <w:pPr>
        <w:pStyle w:val="Normal"/>
        <w:ind w:start="709" w:hanging="0"/>
        <w:rPr/>
      </w:pPr>
      <w:r>
        <w:rPr/>
        <w:t>x</w:t>
      </w:r>
    </w:p>
    <w:p>
      <w:pPr>
        <w:pStyle w:val="Normal"/>
        <w:ind w:start="709" w:hanging="0"/>
        <w:rPr/>
      </w:pPr>
      <w:r>
        <w:rPr/>
        <w:t>x</w:t>
      </w:r>
    </w:p>
    <w:p>
      <w:pPr>
        <w:pStyle w:val="Normal"/>
        <w:ind w:start="709" w:hanging="0"/>
        <w:rPr/>
      </w:pPr>
      <w:r>
        <w:rPr/>
      </w:r>
    </w:p>
    <w:p>
      <w:pPr>
        <w:pStyle w:val="Normal"/>
        <w:ind w:start="709" w:hanging="0"/>
        <w:rPr/>
      </w:pPr>
      <w:r>
        <w:rPr>
          <w:b/>
        </w:rPr>
        <w:t>C Bør udføres indenfor 5 år</w:t>
      </w:r>
      <w:r>
        <w:rPr/>
        <w:t>.</w:t>
      </w:r>
    </w:p>
    <w:p>
      <w:pPr>
        <w:pStyle w:val="Normal"/>
        <w:ind w:start="709" w:hanging="0"/>
        <w:rPr/>
      </w:pPr>
      <w:r>
        <w:rPr/>
        <w:t>Udskiftning af tag.</w:t>
      </w:r>
    </w:p>
    <w:p>
      <w:pPr>
        <w:pStyle w:val="Normal"/>
        <w:ind w:start="709" w:hanging="0"/>
        <w:rPr/>
      </w:pPr>
      <w:r>
        <w:rPr/>
        <w:t>x</w:t>
      </w:r>
    </w:p>
    <w:p>
      <w:pPr>
        <w:pStyle w:val="Normal"/>
        <w:ind w:start="709" w:hanging="0"/>
        <w:rPr/>
      </w:pPr>
      <w:r>
        <w:rPr/>
        <w:t>x</w:t>
      </w:r>
    </w:p>
    <w:p>
      <w:pPr>
        <w:pStyle w:val="Normal"/>
        <w:ind w:start="709" w:hanging="0"/>
        <w:rPr>
          <w:b/>
          <w:b/>
        </w:rPr>
      </w:pPr>
      <w:r>
        <w:rPr>
          <w:b/>
        </w:rPr>
      </w:r>
    </w:p>
    <w:p>
      <w:pPr>
        <w:pStyle w:val="Normal"/>
        <w:ind w:start="709" w:hanging="0"/>
        <w:rPr/>
      </w:pPr>
      <w:r>
        <w:rPr>
          <w:b/>
        </w:rPr>
        <w:t>D Fornyelser, udskiftning m.v.</w:t>
      </w:r>
      <w:r>
        <w:rPr/>
        <w:tab/>
      </w:r>
    </w:p>
    <w:p>
      <w:pPr>
        <w:pStyle w:val="Normal"/>
        <w:ind w:start="709" w:hanging="0"/>
        <w:rPr/>
      </w:pPr>
      <w:r>
        <w:rPr/>
        <w:t>Udskiftning af bølgeeternitplader som tagbeklædning og facadebeklædning med tilsvarende nye uden asbest.</w:t>
      </w:r>
    </w:p>
    <w:p>
      <w:pPr>
        <w:pStyle w:val="Normal"/>
        <w:ind w:start="709" w:hanging="0"/>
        <w:rPr/>
      </w:pPr>
      <w:r>
        <w:rPr/>
        <w:t>Udskiftning af glaspartier i bolig og fællesgader med energiruder og isoleret ramme.</w:t>
      </w:r>
    </w:p>
    <w:p>
      <w:pPr>
        <w:pStyle w:val="Normal"/>
        <w:ind w:start="709" w:hanging="0"/>
        <w:rPr/>
      </w:pPr>
      <w:r>
        <w:rPr/>
        <w:t>Udskiftning af indvendig vægbeklædning i fællesgadearealer.</w:t>
      </w:r>
      <w:r>
        <w:br w:type="page"/>
      </w:r>
    </w:p>
    <w:p>
      <w:pPr>
        <w:pStyle w:val="Heading1"/>
        <w:numPr>
          <w:ilvl w:val="0"/>
          <w:numId w:val="1"/>
        </w:numPr>
        <w:rPr/>
      </w:pPr>
      <w:r>
        <w:rPr/>
        <w:t>Bygningsdelskort og generelle bemærkninger.</w:t>
      </w:r>
    </w:p>
    <w:p>
      <w:pPr>
        <w:pStyle w:val="Normal"/>
        <w:rPr/>
      </w:pPr>
      <w:r>
        <w:rPr/>
      </w:r>
    </w:p>
    <w:p>
      <w:pPr>
        <w:pStyle w:val="Normal"/>
        <w:ind w:start="709" w:hanging="0"/>
        <w:rPr/>
      </w:pPr>
      <w:r>
        <w:rPr/>
        <w:t xml:space="preserve">En vedligeholdelses og driftsplan er et vigtigt værktøj til at holde en bygning brugbar, hvis man ikke følger de angivne rutiner nøje vil en evt. ikke ønskelig slitage i forskellige henseender kunne opstå. </w:t>
      </w:r>
    </w:p>
    <w:p>
      <w:pPr>
        <w:pStyle w:val="Normal"/>
        <w:ind w:start="709" w:hanging="0"/>
        <w:rPr/>
      </w:pPr>
      <w:r>
        <w:rPr/>
      </w:r>
    </w:p>
    <w:p>
      <w:pPr>
        <w:pStyle w:val="Normal"/>
        <w:ind w:start="709" w:hanging="0"/>
        <w:rPr/>
      </w:pPr>
      <w:r>
        <w:rPr>
          <w:b/>
          <w:bCs/>
        </w:rPr>
        <w:t>Vedligeholdelsesplan</w:t>
      </w:r>
      <w:r>
        <w:rPr/>
        <w:br/>
        <w:t>Med basis i ejers ønsker og krav fastlægges et langsigtet mål med ejendommen. Ud fra rapportens konklusioner og det langsigtede mål fastlægges vedligeholdelsesplanen. Den indeholder en fortegnelse over, hvilke arbejder, der skal udføres hvornår, og hvad de forskellige arbejder forventes at koste.</w:t>
        <w:br/>
        <w:br/>
        <w:t>Med vedligeholdelsesplanen som "den røde tråd" for den tekniske drift af ejendommen, kan der udføres en målrettet og optimal drift af ejendommen.</w:t>
        <w:br/>
        <w:br/>
      </w:r>
      <w:r>
        <w:rPr>
          <w:b/>
          <w:bCs/>
        </w:rPr>
        <w:t>Driftsplan</w:t>
      </w:r>
      <w:r>
        <w:rPr/>
        <w:br/>
        <w:t>Med udgangspunkt i vedligeholdelsesplanen kan der, på en række udvalgte bygningsdele udarbejdes specifikke bygningsdelskort, således at der kan skabes en oversigt over løbende systematisk vedligeholdelse. Sådanne bygningsdele kan f.eks. være overflader på trappetrin. rensning af kloakker, overfladebehandling af vinduer m.v.</w:t>
        <w:br/>
        <w:br/>
        <w:t xml:space="preserve">I samråd med ejeren bør der udarbejdes en logbog, hvor det kan noteres / checkes op på, at den systematiske vedligeholdelse foregår som planlagt, og at ønskede eller nødvendige ændringer registreres, således at vedligeholdelsesplanen kan justeres i takt hermed. </w:t>
      </w:r>
    </w:p>
    <w:p>
      <w:pPr>
        <w:pStyle w:val="Normal"/>
        <w:ind w:start="709" w:hanging="0"/>
        <w:rPr>
          <w:b/>
          <w:b/>
          <w:bCs/>
        </w:rPr>
      </w:pPr>
      <w:r>
        <w:rPr>
          <w:b/>
          <w:bCs/>
        </w:rPr>
      </w:r>
    </w:p>
    <w:p>
      <w:pPr>
        <w:pStyle w:val="Normal"/>
        <w:ind w:start="709" w:hanging="0"/>
        <w:rPr>
          <w:b/>
          <w:b/>
          <w:bCs/>
        </w:rPr>
      </w:pPr>
      <w:r>
        <w:rPr>
          <w:b/>
          <w:bCs/>
        </w:rPr>
        <w:t>Definitioner af aktiviteter</w:t>
      </w:r>
    </w:p>
    <w:p>
      <w:pPr>
        <w:pStyle w:val="Normal"/>
        <w:ind w:start="709" w:hanging="0"/>
        <w:rPr/>
      </w:pPr>
      <w:r>
        <w:rPr/>
        <w:t>Aktiviteter vedrørende drift og vedligehold opdeles forenklet i 3 samlede grupperinger:</w:t>
      </w:r>
    </w:p>
    <w:p>
      <w:pPr>
        <w:pStyle w:val="Normal"/>
        <w:rPr/>
      </w:pPr>
      <w:r>
        <w:rPr/>
      </w:r>
    </w:p>
    <w:tbl>
      <w:tblPr>
        <w:tblW w:w="6814" w:type="dxa"/>
        <w:jc w:val="start"/>
        <w:tblInd w:w="704" w:type="dxa"/>
        <w:tblBorders>
          <w:top w:val="single" w:sz="4" w:space="0" w:color="000000"/>
          <w:start w:val="single" w:sz="4" w:space="0" w:color="000000"/>
          <w:bottom w:val="single" w:sz="4" w:space="0" w:color="000000"/>
          <w:insideH w:val="single" w:sz="4" w:space="0" w:color="000000"/>
        </w:tblBorders>
        <w:tblCellMar>
          <w:top w:w="0" w:type="dxa"/>
          <w:start w:w="103" w:type="dxa"/>
          <w:bottom w:w="0" w:type="dxa"/>
          <w:end w:w="108" w:type="dxa"/>
        </w:tblCellMar>
      </w:tblPr>
      <w:tblGrid>
        <w:gridCol w:w="2410"/>
        <w:gridCol w:w="4404"/>
      </w:tblGrid>
      <w:tr>
        <w:trPr/>
        <w:tc>
          <w:tcPr>
            <w:tcW w:w="2410" w:type="dxa"/>
            <w:tcBorders>
              <w:top w:val="single" w:sz="4" w:space="0" w:color="000000"/>
              <w:start w:val="single" w:sz="4" w:space="0" w:color="000000"/>
              <w:bottom w:val="single" w:sz="4" w:space="0" w:color="000000"/>
              <w:insideH w:val="single" w:sz="4" w:space="0" w:color="000000"/>
            </w:tcBorders>
            <w:shd w:fill="auto" w:val="clear"/>
          </w:tcPr>
          <w:p>
            <w:pPr>
              <w:pStyle w:val="Normal"/>
              <w:rPr/>
            </w:pPr>
            <w:r>
              <w:rPr>
                <w:b/>
              </w:rPr>
              <w:t>Driftsrutiner</w:t>
            </w:r>
            <w:r>
              <w:rPr/>
              <w:t>, omfatter</w:t>
            </w:r>
          </w:p>
          <w:p>
            <w:pPr>
              <w:pStyle w:val="Normal"/>
              <w:autoSpaceDE w:val="false"/>
              <w:jc w:val="both"/>
              <w:rPr>
                <w:rFonts w:ascii="Arial,Bold;Times New Roman" w:hAnsi="Arial,Bold;Times New Roman" w:cs="Arial,Bold;Times New Roman"/>
                <w:b/>
                <w:b/>
                <w:bCs/>
                <w:sz w:val="36"/>
                <w:szCs w:val="36"/>
              </w:rPr>
            </w:pPr>
            <w:r>
              <w:rPr>
                <w:rFonts w:cs="Arial,Bold;Times New Roman" w:ascii="Arial,Bold;Times New Roman" w:hAnsi="Arial,Bold;Times New Roman"/>
                <w:b/>
                <w:bCs/>
                <w:sz w:val="36"/>
                <w:szCs w:val="36"/>
              </w:rPr>
              <w:t>D</w:t>
            </w:r>
          </w:p>
          <w:p>
            <w:pPr>
              <w:pStyle w:val="Normal"/>
              <w:ind w:start="709" w:hanging="0"/>
              <w:rPr>
                <w:rFonts w:ascii="Arial,Bold;Times New Roman" w:hAnsi="Arial,Bold;Times New Roman" w:cs="Arial,Bold;Times New Roman"/>
                <w:b/>
                <w:b/>
                <w:bCs/>
                <w:sz w:val="36"/>
                <w:szCs w:val="36"/>
              </w:rPr>
            </w:pPr>
            <w:r>
              <w:rPr>
                <w:rFonts w:cs="Arial,Bold;Times New Roman" w:ascii="Arial,Bold;Times New Roman" w:hAnsi="Arial,Bold;Times New Roman"/>
                <w:b/>
                <w:bCs/>
                <w:sz w:val="36"/>
                <w:szCs w:val="36"/>
              </w:rPr>
            </w:r>
          </w:p>
        </w:tc>
        <w:tc>
          <w:tcPr>
            <w:tcW w:w="4404" w:type="dxa"/>
            <w:tcBorders>
              <w:top w:val="single" w:sz="4" w:space="0" w:color="000000"/>
              <w:start w:val="single" w:sz="4" w:space="0" w:color="000000"/>
              <w:bottom w:val="single" w:sz="4" w:space="0" w:color="000000"/>
              <w:end w:val="single" w:sz="4" w:space="0" w:color="000000"/>
              <w:insideH w:val="single" w:sz="4" w:space="0" w:color="000000"/>
              <w:insideV w:val="single" w:sz="4" w:space="0" w:color="000000"/>
            </w:tcBorders>
            <w:shd w:fill="auto" w:val="clear"/>
          </w:tcPr>
          <w:p>
            <w:pPr>
              <w:pStyle w:val="Normal"/>
              <w:rPr/>
            </w:pPr>
            <w:r>
              <w:rPr>
                <w:sz w:val="20"/>
              </w:rPr>
              <w:t xml:space="preserve">• </w:t>
            </w:r>
            <w:r>
              <w:rPr>
                <w:sz w:val="20"/>
              </w:rPr>
              <w:t>Eftersyn, inspektion og check ved bygnings ejer, ejendomsinspektør, vicevært, tekniker eller entreprenør</w:t>
            </w:r>
          </w:p>
          <w:p>
            <w:pPr>
              <w:pStyle w:val="Normal"/>
              <w:rPr/>
            </w:pPr>
            <w:r>
              <w:rPr>
                <w:sz w:val="20"/>
              </w:rPr>
              <w:t xml:space="preserve">• </w:t>
            </w:r>
            <w:r>
              <w:rPr>
                <w:sz w:val="20"/>
              </w:rPr>
              <w:t>Abonnementsordninger vedrørende fx varmeanlæg, ventilation o. lign.</w:t>
            </w:r>
          </w:p>
        </w:tc>
      </w:tr>
      <w:tr>
        <w:trPr/>
        <w:tc>
          <w:tcPr>
            <w:tcW w:w="2410" w:type="dxa"/>
            <w:tcBorders>
              <w:top w:val="single" w:sz="4" w:space="0" w:color="000000"/>
              <w:start w:val="single" w:sz="4" w:space="0" w:color="000000"/>
              <w:bottom w:val="single" w:sz="4" w:space="0" w:color="000000"/>
              <w:insideH w:val="single" w:sz="4" w:space="0" w:color="000000"/>
            </w:tcBorders>
            <w:shd w:fill="auto" w:val="clear"/>
          </w:tcPr>
          <w:p>
            <w:pPr>
              <w:pStyle w:val="Normal"/>
              <w:rPr/>
            </w:pPr>
            <w:r>
              <w:rPr>
                <w:b/>
              </w:rPr>
              <w:t>Vedligehold</w:t>
            </w:r>
            <w:r>
              <w:rPr/>
              <w:t>, omfatter</w:t>
            </w:r>
          </w:p>
          <w:p>
            <w:pPr>
              <w:pStyle w:val="Normal"/>
              <w:autoSpaceDE w:val="false"/>
              <w:ind w:end="284" w:hanging="0"/>
              <w:rPr>
                <w:rFonts w:ascii="Arial,Bold;Times New Roman" w:hAnsi="Arial,Bold;Times New Roman" w:cs="Arial,Bold;Times New Roman"/>
                <w:b/>
                <w:b/>
                <w:bCs/>
                <w:sz w:val="36"/>
                <w:szCs w:val="36"/>
              </w:rPr>
            </w:pPr>
            <w:r>
              <w:rPr>
                <w:rFonts w:cs="Arial,Bold;Times New Roman" w:ascii="Arial,Bold;Times New Roman" w:hAnsi="Arial,Bold;Times New Roman"/>
                <w:b/>
                <w:bCs/>
                <w:sz w:val="36"/>
                <w:szCs w:val="36"/>
              </w:rPr>
              <w:t>V</w:t>
            </w:r>
          </w:p>
          <w:p>
            <w:pPr>
              <w:pStyle w:val="Normal"/>
              <w:rPr>
                <w:rFonts w:ascii="Arial,Bold;Times New Roman" w:hAnsi="Arial,Bold;Times New Roman" w:cs="Arial,Bold;Times New Roman"/>
                <w:b/>
                <w:b/>
                <w:bCs/>
                <w:sz w:val="36"/>
                <w:szCs w:val="36"/>
              </w:rPr>
            </w:pPr>
            <w:r>
              <w:rPr>
                <w:rFonts w:cs="Arial,Bold;Times New Roman" w:ascii="Arial,Bold;Times New Roman" w:hAnsi="Arial,Bold;Times New Roman"/>
                <w:b/>
                <w:bCs/>
                <w:sz w:val="36"/>
                <w:szCs w:val="36"/>
              </w:rPr>
            </w:r>
          </w:p>
        </w:tc>
        <w:tc>
          <w:tcPr>
            <w:tcW w:w="4404" w:type="dxa"/>
            <w:tcBorders>
              <w:top w:val="single" w:sz="4" w:space="0" w:color="000000"/>
              <w:start w:val="single" w:sz="4" w:space="0" w:color="000000"/>
              <w:bottom w:val="single" w:sz="4" w:space="0" w:color="000000"/>
              <w:end w:val="single" w:sz="4" w:space="0" w:color="000000"/>
              <w:insideH w:val="single" w:sz="4" w:space="0" w:color="000000"/>
              <w:insideV w:val="single" w:sz="4" w:space="0" w:color="000000"/>
            </w:tcBorders>
            <w:shd w:fill="auto" w:val="clear"/>
          </w:tcPr>
          <w:p>
            <w:pPr>
              <w:pStyle w:val="Normal"/>
              <w:rPr/>
            </w:pPr>
            <w:r>
              <w:rPr>
                <w:sz w:val="20"/>
              </w:rPr>
              <w:t xml:space="preserve">• </w:t>
            </w:r>
            <w:r>
              <w:rPr>
                <w:sz w:val="20"/>
              </w:rPr>
              <w:t>Løbende vedligehold, der traditionelt opdeles i forebyggende og afhjælpende vedligehold, der har til formål at opretholde bygningsdeles levetid, udseende og funktioner længst muligt</w:t>
            </w:r>
          </w:p>
        </w:tc>
      </w:tr>
      <w:tr>
        <w:trPr/>
        <w:tc>
          <w:tcPr>
            <w:tcW w:w="2410" w:type="dxa"/>
            <w:tcBorders>
              <w:top w:val="single" w:sz="4" w:space="0" w:color="000000"/>
              <w:start w:val="single" w:sz="4" w:space="0" w:color="000000"/>
              <w:bottom w:val="single" w:sz="4" w:space="0" w:color="000000"/>
              <w:insideH w:val="single" w:sz="4" w:space="0" w:color="000000"/>
            </w:tcBorders>
            <w:shd w:fill="auto" w:val="clear"/>
          </w:tcPr>
          <w:p>
            <w:pPr>
              <w:pStyle w:val="Normal"/>
              <w:rPr/>
            </w:pPr>
            <w:r>
              <w:rPr>
                <w:b/>
              </w:rPr>
              <w:t>Fornyelser</w:t>
            </w:r>
            <w:r>
              <w:rPr/>
              <w:t>, omfatter</w:t>
            </w:r>
          </w:p>
          <w:p>
            <w:pPr>
              <w:pStyle w:val="Normal"/>
              <w:ind w:end="459" w:hanging="0"/>
              <w:rPr>
                <w:rFonts w:ascii="Arial,Bold;Times New Roman" w:hAnsi="Arial,Bold;Times New Roman" w:cs="Arial,Bold;Times New Roman"/>
                <w:b/>
                <w:b/>
                <w:bCs/>
                <w:sz w:val="36"/>
                <w:szCs w:val="36"/>
              </w:rPr>
            </w:pPr>
            <w:r>
              <w:rPr>
                <w:rFonts w:cs="Arial,Bold;Times New Roman" w:ascii="Arial,Bold;Times New Roman" w:hAnsi="Arial,Bold;Times New Roman"/>
                <w:b/>
                <w:bCs/>
                <w:sz w:val="36"/>
                <w:szCs w:val="36"/>
              </w:rPr>
              <w:t>F</w:t>
            </w:r>
          </w:p>
        </w:tc>
        <w:tc>
          <w:tcPr>
            <w:tcW w:w="4404" w:type="dxa"/>
            <w:tcBorders>
              <w:top w:val="single" w:sz="4" w:space="0" w:color="000000"/>
              <w:start w:val="single" w:sz="4" w:space="0" w:color="000000"/>
              <w:bottom w:val="single" w:sz="4" w:space="0" w:color="000000"/>
              <w:end w:val="single" w:sz="4" w:space="0" w:color="000000"/>
              <w:insideH w:val="single" w:sz="4" w:space="0" w:color="000000"/>
              <w:insideV w:val="single" w:sz="4" w:space="0" w:color="000000"/>
            </w:tcBorders>
            <w:shd w:fill="auto" w:val="clear"/>
          </w:tcPr>
          <w:p>
            <w:pPr>
              <w:pStyle w:val="Normal"/>
              <w:rPr/>
            </w:pPr>
            <w:r>
              <w:rPr>
                <w:sz w:val="20"/>
              </w:rPr>
              <w:t xml:space="preserve">• </w:t>
            </w:r>
            <w:r>
              <w:rPr>
                <w:sz w:val="20"/>
              </w:rPr>
              <w:t>Opretningsarbejder, som også benævnes genopretning eller total fornyelse eller udskiftning af nedslidte bygningsdele</w:t>
            </w:r>
          </w:p>
          <w:p>
            <w:pPr>
              <w:pStyle w:val="Normal"/>
              <w:rPr/>
            </w:pPr>
            <w:r>
              <w:rPr>
                <w:sz w:val="20"/>
              </w:rPr>
              <w:t xml:space="preserve">• </w:t>
            </w:r>
            <w:r>
              <w:rPr>
                <w:sz w:val="20"/>
              </w:rPr>
              <w:t>Moderniserings- eller forbedringsarbejder, der bibringer ejendommen nye kvaliteter og funktioner, fx. isolerings- og badeværelsesarbejder, etablering af nye tekniske installationer og faciliteter</w:t>
            </w:r>
          </w:p>
        </w:tc>
      </w:tr>
    </w:tbl>
    <w:p>
      <w:pPr>
        <w:pStyle w:val="Normal"/>
        <w:rPr/>
      </w:pPr>
      <w:r>
        <w:rPr/>
      </w:r>
      <w:r>
        <w:br w:type="page"/>
      </w:r>
    </w:p>
    <w:p>
      <w:pPr>
        <w:pStyle w:val="Normal"/>
        <w:ind w:start="709" w:hanging="0"/>
        <w:rPr>
          <w:b/>
          <w:b/>
          <w:bCs/>
        </w:rPr>
      </w:pPr>
      <w:r>
        <w:rPr>
          <w:b/>
          <w:bCs/>
        </w:rPr>
        <w:t>Ejerens fordele</w:t>
      </w:r>
    </w:p>
    <w:p>
      <w:pPr>
        <w:pStyle w:val="Normal"/>
        <w:ind w:start="709" w:hanging="0"/>
        <w:rPr/>
      </w:pPr>
      <w:r>
        <w:rPr/>
        <w:t>Det er billigere at vedligeholde end at forny, og den vedligeholdte</w:t>
      </w:r>
    </w:p>
    <w:p>
      <w:pPr>
        <w:pStyle w:val="Normal"/>
        <w:ind w:start="709" w:hanging="0"/>
        <w:rPr/>
      </w:pPr>
      <w:r>
        <w:rPr/>
        <w:t>bygning nedslides ikke så hurtigt som den, der får lov til at forfalde</w:t>
      </w:r>
    </w:p>
    <w:p>
      <w:pPr>
        <w:pStyle w:val="Normal"/>
        <w:ind w:start="709" w:hanging="0"/>
        <w:rPr/>
      </w:pPr>
      <w:r>
        <w:rPr/>
        <w:t>En godt vedligeholdt og drevet ejendom giver en bedre daglig brug</w:t>
      </w:r>
    </w:p>
    <w:p>
      <w:pPr>
        <w:pStyle w:val="Normal"/>
        <w:ind w:start="709" w:hanging="0"/>
        <w:rPr/>
      </w:pPr>
      <w:r>
        <w:rPr/>
        <w:t>og mindre risiko for udvikling af større bygningsskader</w:t>
      </w:r>
    </w:p>
    <w:p>
      <w:pPr>
        <w:pStyle w:val="Normal"/>
        <w:ind w:start="709" w:hanging="0"/>
        <w:rPr/>
      </w:pPr>
      <w:r>
        <w:rPr/>
      </w:r>
    </w:p>
    <w:p>
      <w:pPr>
        <w:pStyle w:val="Normal"/>
        <w:ind w:start="709" w:hanging="0"/>
        <w:rPr/>
      </w:pPr>
      <w:r>
        <w:rPr/>
        <w:t>Ejendommens økonomi forbliver sund og ejendomsværdien øges.</w:t>
      </w:r>
    </w:p>
    <w:p>
      <w:pPr>
        <w:pStyle w:val="Normal"/>
        <w:ind w:start="709" w:hanging="0"/>
        <w:rPr>
          <w:b/>
          <w:b/>
          <w:bCs/>
        </w:rPr>
      </w:pPr>
      <w:r>
        <w:rPr>
          <w:b/>
          <w:bCs/>
        </w:rPr>
      </w:r>
    </w:p>
    <w:p>
      <w:pPr>
        <w:pStyle w:val="Normal"/>
        <w:ind w:start="709" w:hanging="0"/>
        <w:rPr>
          <w:b/>
          <w:b/>
          <w:bCs/>
        </w:rPr>
      </w:pPr>
      <w:r>
        <w:rPr>
          <w:b/>
          <w:bCs/>
        </w:rPr>
        <w:t>Ejeren får mulighed for:</w:t>
      </w:r>
    </w:p>
    <w:p>
      <w:pPr>
        <w:pStyle w:val="Normal"/>
        <w:numPr>
          <w:ilvl w:val="0"/>
          <w:numId w:val="3"/>
        </w:numPr>
        <w:ind w:start="1069" w:end="-427" w:hanging="360"/>
        <w:rPr/>
      </w:pPr>
      <w:r>
        <w:rPr/>
        <w:t>Anvendelse af checkliste for eftersyn af bygningsdele i ejendommen.</w:t>
      </w:r>
    </w:p>
    <w:p>
      <w:pPr>
        <w:pStyle w:val="Normal"/>
        <w:numPr>
          <w:ilvl w:val="0"/>
          <w:numId w:val="3"/>
        </w:numPr>
        <w:rPr/>
      </w:pPr>
      <w:r>
        <w:rPr/>
        <w:t>Rigtig prioritering af vedligeholdelsesarbejder på ejendommen.</w:t>
      </w:r>
    </w:p>
    <w:p>
      <w:pPr>
        <w:pStyle w:val="Normal"/>
        <w:numPr>
          <w:ilvl w:val="0"/>
          <w:numId w:val="3"/>
        </w:numPr>
        <w:rPr/>
      </w:pPr>
      <w:r>
        <w:rPr/>
        <w:t>Planlægning af vedligeholdelsesarbejder i god tid</w:t>
      </w:r>
    </w:p>
    <w:p>
      <w:pPr>
        <w:pStyle w:val="Normal"/>
        <w:numPr>
          <w:ilvl w:val="0"/>
          <w:numId w:val="3"/>
        </w:numPr>
        <w:rPr/>
      </w:pPr>
      <w:r>
        <w:rPr/>
        <w:t>At opnå bedre overblik over ejendommens samlede driftsøkonomi</w:t>
      </w:r>
    </w:p>
    <w:p>
      <w:pPr>
        <w:pStyle w:val="Normal"/>
        <w:numPr>
          <w:ilvl w:val="0"/>
          <w:numId w:val="3"/>
        </w:numPr>
        <w:rPr/>
      </w:pPr>
      <w:r>
        <w:rPr/>
        <w:t>At udarbejde dokumentation for den foretagne vedligeholdelse</w:t>
      </w:r>
    </w:p>
    <w:p>
      <w:pPr>
        <w:pStyle w:val="Normal"/>
        <w:autoSpaceDE w:val="false"/>
        <w:rPr>
          <w:rFonts w:ascii="Arial,Bold;Times New Roman" w:hAnsi="Arial,Bold;Times New Roman" w:cs="Arial,Bold;Times New Roman"/>
          <w:b/>
          <w:b/>
          <w:bCs/>
          <w:color w:val="000000"/>
          <w:szCs w:val="22"/>
        </w:rPr>
      </w:pPr>
      <w:r>
        <w:rPr>
          <w:rFonts w:cs="Arial,Bold;Times New Roman" w:ascii="Arial,Bold;Times New Roman" w:hAnsi="Arial,Bold;Times New Roman"/>
          <w:b/>
          <w:bCs/>
          <w:color w:val="000000"/>
          <w:szCs w:val="22"/>
        </w:rPr>
      </w:r>
    </w:p>
    <w:tbl>
      <w:tblPr>
        <w:tblW w:w="6814" w:type="dxa"/>
        <w:jc w:val="start"/>
        <w:tblInd w:w="704" w:type="dxa"/>
        <w:tblBorders>
          <w:top w:val="single" w:sz="4" w:space="0" w:color="000000"/>
          <w:start w:val="single" w:sz="4" w:space="0" w:color="000000"/>
          <w:bottom w:val="single" w:sz="4" w:space="0" w:color="000000"/>
          <w:insideH w:val="single" w:sz="4" w:space="0" w:color="000000"/>
        </w:tblBorders>
        <w:tblCellMar>
          <w:top w:w="0" w:type="dxa"/>
          <w:start w:w="103" w:type="dxa"/>
          <w:bottom w:w="0" w:type="dxa"/>
          <w:end w:w="108" w:type="dxa"/>
        </w:tblCellMar>
      </w:tblPr>
      <w:tblGrid>
        <w:gridCol w:w="2693"/>
        <w:gridCol w:w="517"/>
        <w:gridCol w:w="3604"/>
      </w:tblGrid>
      <w:tr>
        <w:trPr/>
        <w:tc>
          <w:tcPr>
            <w:tcW w:w="2693" w:type="dxa"/>
            <w:tcBorders>
              <w:top w:val="single" w:sz="4" w:space="0" w:color="000000"/>
              <w:start w:val="single" w:sz="4" w:space="0" w:color="000000"/>
              <w:bottom w:val="single" w:sz="4" w:space="0" w:color="000000"/>
              <w:insideH w:val="single" w:sz="4" w:space="0" w:color="000000"/>
            </w:tcBorders>
            <w:shd w:fill="auto" w:val="clear"/>
          </w:tcPr>
          <w:p>
            <w:pPr>
              <w:pStyle w:val="Normal"/>
              <w:rPr>
                <w:rFonts w:ascii="Arial,Bold;Times New Roman" w:hAnsi="Arial,Bold;Times New Roman" w:cs="Arial,Bold;Times New Roman"/>
                <w:b/>
                <w:b/>
                <w:bCs/>
                <w:color w:val="000000"/>
                <w:szCs w:val="22"/>
              </w:rPr>
            </w:pPr>
            <w:r>
              <w:rPr>
                <w:b/>
                <w:bCs/>
              </w:rPr>
              <w:t>De 20 bygningsdele</w:t>
            </w:r>
          </w:p>
          <w:p>
            <w:pPr>
              <w:pStyle w:val="Normal"/>
              <w:rPr>
                <w:sz w:val="20"/>
              </w:rPr>
            </w:pPr>
            <w:r>
              <w:rPr>
                <w:sz w:val="20"/>
              </w:rPr>
              <w:t>.</w:t>
            </w:r>
          </w:p>
          <w:p>
            <w:pPr>
              <w:pStyle w:val="Normal"/>
              <w:autoSpaceDE w:val="false"/>
              <w:ind w:start="142" w:hanging="709"/>
              <w:rPr>
                <w:rFonts w:ascii="Arial,Bold;Times New Roman" w:hAnsi="Arial,Bold;Times New Roman" w:cs="Arial,Bold;Times New Roman"/>
                <w:b/>
                <w:b/>
                <w:bCs/>
                <w:color w:val="006600"/>
                <w:sz w:val="18"/>
                <w:szCs w:val="18"/>
              </w:rPr>
            </w:pPr>
            <w:r>
              <w:rPr>
                <w:rFonts w:cs="Arial,Bold;Times New Roman" w:ascii="Arial,Bold;Times New Roman" w:hAnsi="Arial,Bold;Times New Roman"/>
                <w:b/>
                <w:bCs/>
                <w:color w:val="006600"/>
                <w:sz w:val="18"/>
                <w:szCs w:val="18"/>
              </w:rPr>
            </w:r>
          </w:p>
        </w:tc>
        <w:tc>
          <w:tcPr>
            <w:tcW w:w="517" w:type="dxa"/>
            <w:tcBorders>
              <w:top w:val="single" w:sz="4" w:space="0" w:color="000000"/>
              <w:start w:val="single" w:sz="4" w:space="0" w:color="000000"/>
              <w:bottom w:val="single" w:sz="4" w:space="0" w:color="000000"/>
              <w:insideH w:val="single" w:sz="4" w:space="0" w:color="000000"/>
            </w:tcBorders>
            <w:shd w:fill="auto" w:val="clear"/>
          </w:tcPr>
          <w:p>
            <w:pPr>
              <w:pStyle w:val="Normal"/>
              <w:rPr>
                <w:sz w:val="20"/>
              </w:rPr>
            </w:pPr>
            <w:r>
              <w:rPr>
                <w:sz w:val="20"/>
              </w:rPr>
              <w:t>01</w:t>
            </w:r>
          </w:p>
          <w:p>
            <w:pPr>
              <w:pStyle w:val="Normal"/>
              <w:rPr>
                <w:sz w:val="20"/>
              </w:rPr>
            </w:pPr>
            <w:r>
              <w:rPr>
                <w:sz w:val="20"/>
              </w:rPr>
              <w:t>02</w:t>
            </w:r>
          </w:p>
          <w:p>
            <w:pPr>
              <w:pStyle w:val="Normal"/>
              <w:rPr>
                <w:sz w:val="20"/>
              </w:rPr>
            </w:pPr>
            <w:r>
              <w:rPr>
                <w:sz w:val="20"/>
              </w:rPr>
              <w:t>03</w:t>
            </w:r>
          </w:p>
          <w:p>
            <w:pPr>
              <w:pStyle w:val="Normal"/>
              <w:rPr>
                <w:sz w:val="20"/>
              </w:rPr>
            </w:pPr>
            <w:r>
              <w:rPr>
                <w:sz w:val="20"/>
              </w:rPr>
              <w:t>04</w:t>
            </w:r>
          </w:p>
          <w:p>
            <w:pPr>
              <w:pStyle w:val="Normal"/>
              <w:rPr>
                <w:sz w:val="20"/>
              </w:rPr>
            </w:pPr>
            <w:r>
              <w:rPr>
                <w:sz w:val="20"/>
              </w:rPr>
              <w:t>05</w:t>
            </w:r>
          </w:p>
          <w:p>
            <w:pPr>
              <w:pStyle w:val="Normal"/>
              <w:rPr>
                <w:sz w:val="20"/>
              </w:rPr>
            </w:pPr>
            <w:r>
              <w:rPr>
                <w:sz w:val="20"/>
              </w:rPr>
              <w:t>06</w:t>
            </w:r>
          </w:p>
          <w:p>
            <w:pPr>
              <w:pStyle w:val="Normal"/>
              <w:rPr>
                <w:sz w:val="20"/>
              </w:rPr>
            </w:pPr>
            <w:r>
              <w:rPr>
                <w:sz w:val="20"/>
              </w:rPr>
              <w:t>07</w:t>
            </w:r>
          </w:p>
          <w:p>
            <w:pPr>
              <w:pStyle w:val="Normal"/>
              <w:rPr>
                <w:sz w:val="20"/>
              </w:rPr>
            </w:pPr>
            <w:r>
              <w:rPr>
                <w:sz w:val="20"/>
              </w:rPr>
              <w:t>08</w:t>
            </w:r>
          </w:p>
          <w:p>
            <w:pPr>
              <w:pStyle w:val="Normal"/>
              <w:rPr>
                <w:sz w:val="20"/>
              </w:rPr>
            </w:pPr>
            <w:r>
              <w:rPr>
                <w:sz w:val="20"/>
              </w:rPr>
              <w:t>09</w:t>
            </w:r>
          </w:p>
          <w:p>
            <w:pPr>
              <w:pStyle w:val="Normal"/>
              <w:rPr>
                <w:sz w:val="20"/>
              </w:rPr>
            </w:pPr>
            <w:r>
              <w:rPr>
                <w:sz w:val="20"/>
              </w:rPr>
              <w:t>10</w:t>
            </w:r>
          </w:p>
          <w:p>
            <w:pPr>
              <w:pStyle w:val="Normal"/>
              <w:rPr>
                <w:sz w:val="20"/>
              </w:rPr>
            </w:pPr>
            <w:r>
              <w:rPr>
                <w:sz w:val="20"/>
              </w:rPr>
              <w:t>11</w:t>
            </w:r>
          </w:p>
          <w:p>
            <w:pPr>
              <w:pStyle w:val="Normal"/>
              <w:rPr>
                <w:sz w:val="20"/>
              </w:rPr>
            </w:pPr>
            <w:r>
              <w:rPr>
                <w:sz w:val="20"/>
              </w:rPr>
              <w:t>12</w:t>
            </w:r>
          </w:p>
          <w:p>
            <w:pPr>
              <w:pStyle w:val="Normal"/>
              <w:rPr>
                <w:sz w:val="20"/>
              </w:rPr>
            </w:pPr>
            <w:r>
              <w:rPr>
                <w:sz w:val="20"/>
              </w:rPr>
              <w:t>13</w:t>
            </w:r>
          </w:p>
          <w:p>
            <w:pPr>
              <w:pStyle w:val="Normal"/>
              <w:rPr>
                <w:sz w:val="20"/>
              </w:rPr>
            </w:pPr>
            <w:r>
              <w:rPr>
                <w:sz w:val="20"/>
              </w:rPr>
              <w:t>14</w:t>
            </w:r>
          </w:p>
          <w:p>
            <w:pPr>
              <w:pStyle w:val="Normal"/>
              <w:rPr>
                <w:sz w:val="20"/>
              </w:rPr>
            </w:pPr>
            <w:r>
              <w:rPr>
                <w:sz w:val="20"/>
              </w:rPr>
              <w:t>15</w:t>
            </w:r>
          </w:p>
          <w:p>
            <w:pPr>
              <w:pStyle w:val="Normal"/>
              <w:rPr>
                <w:sz w:val="20"/>
              </w:rPr>
            </w:pPr>
            <w:r>
              <w:rPr>
                <w:sz w:val="20"/>
              </w:rPr>
              <w:t>16</w:t>
            </w:r>
          </w:p>
          <w:p>
            <w:pPr>
              <w:pStyle w:val="Normal"/>
              <w:rPr>
                <w:sz w:val="20"/>
              </w:rPr>
            </w:pPr>
            <w:r>
              <w:rPr>
                <w:sz w:val="20"/>
              </w:rPr>
              <w:t>17</w:t>
            </w:r>
          </w:p>
          <w:p>
            <w:pPr>
              <w:pStyle w:val="Normal"/>
              <w:rPr>
                <w:sz w:val="20"/>
              </w:rPr>
            </w:pPr>
            <w:r>
              <w:rPr>
                <w:sz w:val="20"/>
              </w:rPr>
              <w:t>18</w:t>
            </w:r>
          </w:p>
          <w:p>
            <w:pPr>
              <w:pStyle w:val="Normal"/>
              <w:rPr>
                <w:sz w:val="20"/>
              </w:rPr>
            </w:pPr>
            <w:r>
              <w:rPr>
                <w:sz w:val="20"/>
              </w:rPr>
              <w:t>19</w:t>
            </w:r>
          </w:p>
          <w:p>
            <w:pPr>
              <w:pStyle w:val="Normal"/>
              <w:rPr>
                <w:sz w:val="20"/>
              </w:rPr>
            </w:pPr>
            <w:r>
              <w:rPr>
                <w:sz w:val="20"/>
              </w:rPr>
              <w:t>20</w:t>
            </w:r>
          </w:p>
          <w:p>
            <w:pPr>
              <w:pStyle w:val="Normal"/>
              <w:rPr>
                <w:sz w:val="20"/>
              </w:rPr>
            </w:pPr>
            <w:r>
              <w:rPr>
                <w:sz w:val="20"/>
              </w:rPr>
            </w:r>
          </w:p>
        </w:tc>
        <w:tc>
          <w:tcPr>
            <w:tcW w:w="3604" w:type="dxa"/>
            <w:tcBorders>
              <w:top w:val="single" w:sz="4" w:space="0" w:color="000000"/>
              <w:start w:val="single" w:sz="4" w:space="0" w:color="000000"/>
              <w:bottom w:val="single" w:sz="4" w:space="0" w:color="000000"/>
              <w:end w:val="single" w:sz="4" w:space="0" w:color="000000"/>
              <w:insideH w:val="single" w:sz="4" w:space="0" w:color="000000"/>
              <w:insideV w:val="single" w:sz="4" w:space="0" w:color="000000"/>
            </w:tcBorders>
            <w:shd w:fill="auto" w:val="clear"/>
          </w:tcPr>
          <w:p>
            <w:pPr>
              <w:pStyle w:val="Normal"/>
              <w:rPr>
                <w:sz w:val="20"/>
              </w:rPr>
            </w:pPr>
            <w:r>
              <w:rPr>
                <w:sz w:val="20"/>
              </w:rPr>
              <w:t>TAGVÆRK</w:t>
            </w:r>
          </w:p>
          <w:p>
            <w:pPr>
              <w:pStyle w:val="Normal"/>
              <w:rPr>
                <w:sz w:val="20"/>
              </w:rPr>
            </w:pPr>
            <w:r>
              <w:rPr>
                <w:sz w:val="20"/>
              </w:rPr>
              <w:t>KÆLDER / FUNDERING</w:t>
            </w:r>
          </w:p>
          <w:p>
            <w:pPr>
              <w:pStyle w:val="Normal"/>
              <w:rPr>
                <w:sz w:val="20"/>
              </w:rPr>
            </w:pPr>
            <w:r>
              <w:rPr>
                <w:sz w:val="20"/>
              </w:rPr>
              <w:t>FACADER / SOKKEL</w:t>
            </w:r>
          </w:p>
          <w:p>
            <w:pPr>
              <w:pStyle w:val="Normal"/>
              <w:rPr>
                <w:sz w:val="20"/>
              </w:rPr>
            </w:pPr>
            <w:r>
              <w:rPr>
                <w:sz w:val="20"/>
              </w:rPr>
              <w:t>VINDUER</w:t>
            </w:r>
          </w:p>
          <w:p>
            <w:pPr>
              <w:pStyle w:val="Normal"/>
              <w:rPr>
                <w:sz w:val="20"/>
              </w:rPr>
            </w:pPr>
            <w:r>
              <w:rPr>
                <w:sz w:val="20"/>
              </w:rPr>
              <w:t>UDVENDIGE DØRE</w:t>
            </w:r>
          </w:p>
          <w:p>
            <w:pPr>
              <w:pStyle w:val="Normal"/>
              <w:rPr>
                <w:sz w:val="20"/>
              </w:rPr>
            </w:pPr>
            <w:r>
              <w:rPr>
                <w:sz w:val="20"/>
              </w:rPr>
              <w:t>TRAPPER</w:t>
            </w:r>
          </w:p>
          <w:p>
            <w:pPr>
              <w:pStyle w:val="Normal"/>
              <w:rPr>
                <w:sz w:val="20"/>
              </w:rPr>
            </w:pPr>
            <w:r>
              <w:rPr>
                <w:sz w:val="20"/>
              </w:rPr>
              <w:t>PORTE / GENNEMGANGE</w:t>
            </w:r>
          </w:p>
          <w:p>
            <w:pPr>
              <w:pStyle w:val="Normal"/>
              <w:rPr>
                <w:sz w:val="20"/>
              </w:rPr>
            </w:pPr>
            <w:r>
              <w:rPr>
                <w:sz w:val="20"/>
              </w:rPr>
              <w:t>ETAGEADSKILLELSER</w:t>
            </w:r>
          </w:p>
          <w:p>
            <w:pPr>
              <w:pStyle w:val="Normal"/>
              <w:rPr>
                <w:sz w:val="20"/>
              </w:rPr>
            </w:pPr>
            <w:r>
              <w:rPr>
                <w:sz w:val="20"/>
              </w:rPr>
              <w:t>WC / BAD</w:t>
            </w:r>
          </w:p>
          <w:p>
            <w:pPr>
              <w:pStyle w:val="Normal"/>
              <w:rPr>
                <w:sz w:val="20"/>
              </w:rPr>
            </w:pPr>
            <w:r>
              <w:rPr>
                <w:sz w:val="20"/>
              </w:rPr>
              <w:t>KØKKENER</w:t>
            </w:r>
          </w:p>
          <w:p>
            <w:pPr>
              <w:pStyle w:val="Normal"/>
              <w:rPr>
                <w:sz w:val="20"/>
              </w:rPr>
            </w:pPr>
            <w:r>
              <w:rPr>
                <w:sz w:val="20"/>
              </w:rPr>
              <w:t>VARMEANLÆG</w:t>
            </w:r>
          </w:p>
          <w:p>
            <w:pPr>
              <w:pStyle w:val="Normal"/>
              <w:rPr>
                <w:sz w:val="20"/>
              </w:rPr>
            </w:pPr>
            <w:r>
              <w:rPr>
                <w:sz w:val="20"/>
              </w:rPr>
              <w:t>AFLØB</w:t>
            </w:r>
          </w:p>
          <w:p>
            <w:pPr>
              <w:pStyle w:val="Normal"/>
              <w:rPr>
                <w:sz w:val="20"/>
              </w:rPr>
            </w:pPr>
            <w:r>
              <w:rPr>
                <w:sz w:val="20"/>
              </w:rPr>
              <w:t>KLOAK</w:t>
            </w:r>
          </w:p>
          <w:p>
            <w:pPr>
              <w:pStyle w:val="Normal"/>
              <w:rPr>
                <w:sz w:val="20"/>
              </w:rPr>
            </w:pPr>
            <w:r>
              <w:rPr>
                <w:sz w:val="20"/>
              </w:rPr>
              <w:t>VANDINSTALLATION</w:t>
            </w:r>
          </w:p>
          <w:p>
            <w:pPr>
              <w:pStyle w:val="Normal"/>
              <w:rPr>
                <w:sz w:val="20"/>
              </w:rPr>
            </w:pPr>
            <w:r>
              <w:rPr>
                <w:sz w:val="20"/>
              </w:rPr>
              <w:t>GASINSTALLATION</w:t>
            </w:r>
          </w:p>
          <w:p>
            <w:pPr>
              <w:pStyle w:val="Normal"/>
              <w:rPr>
                <w:sz w:val="20"/>
              </w:rPr>
            </w:pPr>
            <w:r>
              <w:rPr>
                <w:sz w:val="20"/>
              </w:rPr>
              <w:t>VENTILATION</w:t>
            </w:r>
          </w:p>
          <w:p>
            <w:pPr>
              <w:pStyle w:val="Normal"/>
              <w:rPr>
                <w:sz w:val="20"/>
              </w:rPr>
            </w:pPr>
            <w:r>
              <w:rPr>
                <w:sz w:val="20"/>
              </w:rPr>
              <w:t>EL / SVAGSTRØM</w:t>
            </w:r>
          </w:p>
          <w:p>
            <w:pPr>
              <w:pStyle w:val="Normal"/>
              <w:rPr/>
            </w:pPr>
            <w:r>
              <w:rPr>
                <w:sz w:val="20"/>
              </w:rPr>
              <w:t>ØVRIGE OMBYGNINGSARBEJDER</w:t>
            </w:r>
          </w:p>
          <w:p>
            <w:pPr>
              <w:pStyle w:val="Normal"/>
              <w:rPr>
                <w:sz w:val="20"/>
              </w:rPr>
            </w:pPr>
            <w:r>
              <w:rPr>
                <w:sz w:val="20"/>
              </w:rPr>
              <w:t>PRIVATE FRIAREALER *)</w:t>
            </w:r>
          </w:p>
          <w:p>
            <w:pPr>
              <w:pStyle w:val="Normal"/>
              <w:rPr>
                <w:b/>
                <w:b/>
                <w:bCs/>
              </w:rPr>
            </w:pPr>
            <w:r>
              <w:rPr>
                <w:sz w:val="20"/>
              </w:rPr>
              <w:t>BYGGEPLADS</w:t>
            </w:r>
          </w:p>
        </w:tc>
      </w:tr>
    </w:tbl>
    <w:p>
      <w:pPr>
        <w:pStyle w:val="Heading1"/>
        <w:numPr>
          <w:ilvl w:val="0"/>
          <w:numId w:val="1"/>
        </w:numPr>
        <w:rPr/>
      </w:pPr>
      <w:r>
        <w:rPr/>
        <w:t>10 – års driftsbudget og aktivitetsplan.</w:t>
      </w:r>
    </w:p>
    <w:p>
      <w:pPr>
        <w:pStyle w:val="Normal"/>
        <w:rPr/>
      </w:pPr>
      <w:r>
        <w:rPr/>
      </w:r>
    </w:p>
    <w:p>
      <w:pPr>
        <w:pStyle w:val="Normal"/>
        <w:ind w:start="709" w:hanging="0"/>
        <w:rPr/>
      </w:pPr>
      <w:r>
        <w:rPr/>
        <w:t>Aktivitetsplanen er skematisk opstilling af hensættelser til driftsrutiner, vedligeholdelsesarbejder samt fornyelser som anbefales gennemført over en 10 – årig periode. Regnearket kan leveres som redigeringsåbent dokument således at konsekvens af flytning af en delaktivitet (fremskyndelse eller udsættelse) kan beregnes på enkelt vis.</w:t>
      </w:r>
    </w:p>
    <w:p>
      <w:pPr>
        <w:pStyle w:val="Normal"/>
        <w:ind w:start="709" w:hanging="0"/>
        <w:rPr/>
      </w:pPr>
      <w:r>
        <w:rPr/>
      </w:r>
    </w:p>
    <w:p>
      <w:pPr>
        <w:pStyle w:val="Normal"/>
        <w:ind w:start="709" w:hanging="0"/>
        <w:rPr/>
      </w:pPr>
      <w:r>
        <w:rPr/>
        <w:t>Aktivitetsplanen (udkast) som er rådgivers bud på en forslag til prioritering er ment som et oplæg som gennemgås med de driftsansvarlige på møde inden denne bliver ophøjet til en endelig driftsplan.</w:t>
      </w:r>
    </w:p>
    <w:p>
      <w:pPr>
        <w:pStyle w:val="Normal"/>
        <w:ind w:start="709" w:hanging="0"/>
        <w:rPr/>
      </w:pPr>
      <w:r>
        <w:rPr/>
      </w:r>
    </w:p>
    <w:p>
      <w:pPr>
        <w:pStyle w:val="Normal"/>
        <w:ind w:start="709" w:hanging="0"/>
        <w:rPr/>
      </w:pPr>
      <w:r>
        <w:rPr/>
        <w:t xml:space="preserve">Det vil ligeledes være muligt at regulere beløbsstørrelser i forhold til evt. ændringer i aktuelt prisniveau er m.v. </w:t>
      </w:r>
      <w:r>
        <w:br w:type="page"/>
      </w:r>
    </w:p>
    <w:p>
      <w:pPr>
        <w:pStyle w:val="Heading1"/>
        <w:numPr>
          <w:ilvl w:val="0"/>
          <w:numId w:val="0"/>
        </w:numPr>
        <w:tabs>
          <w:tab w:val="left" w:pos="709" w:leader="none"/>
        </w:tabs>
        <w:ind w:start="0" w:hanging="0"/>
        <w:rPr/>
      </w:pPr>
      <w:r>
        <w:rPr/>
        <w:t>Bilag til rapporten.</w:t>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t>Rapporten er udført af JEJ, JBN, PFH fra Damgaard Rådgivende Ingeniører A/S</w:t>
      </w:r>
    </w:p>
    <w:p>
      <w:pPr>
        <w:pStyle w:val="Normal"/>
        <w:rPr/>
      </w:pPr>
      <w:r>
        <w:rPr/>
      </w:r>
    </w:p>
    <w:p>
      <w:pPr>
        <w:pStyle w:val="Normal"/>
        <w:rPr/>
      </w:pPr>
      <w:r>
        <w:rPr/>
      </w:r>
    </w:p>
    <w:p>
      <w:pPr>
        <w:pStyle w:val="Normal"/>
        <w:rPr/>
      </w:pPr>
      <w:r>
        <w:rPr/>
        <w:t>2008-10-31</w:t>
      </w:r>
    </w:p>
    <w:sectPr>
      <w:headerReference w:type="default" r:id="rId7"/>
      <w:footerReference w:type="default" r:id="rId8"/>
      <w:type w:val="nextPage"/>
      <w:pgSz w:w="11906" w:h="16838"/>
      <w:pgMar w:left="2835" w:right="1841" w:header="708" w:top="1701" w:footer="708" w:bottom="993" w:gutter="0"/>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font>
  <w:font w:name="Symbol">
    <w:charset w:val="02"/>
    <w:family w:val="roman"/>
    <w:pitch w:val="variable"/>
  </w:font>
  <w:font w:name="Arial">
    <w:charset w:val="00" w:characterSet="windows-1252"/>
    <w:family w:val="swiss"/>
    <w:pitch w:val="variable"/>
  </w:font>
  <w:font w:name="Liberation Serif">
    <w:altName w:val="Times New Roman"/>
    <w:charset w:val="01" w:characterSet="utf-8"/>
    <w:family w:val="roman"/>
    <w:pitch w:val="variable"/>
  </w:font>
  <w:font w:name="Courier New">
    <w:charset w:val="00" w:characterSet="windows-1252"/>
    <w:family w:val="modern"/>
    <w:pitch w:val="default"/>
  </w:font>
  <w:font w:name="Wingdings">
    <w:charset w:val="02"/>
    <w:family w:val="auto"/>
    <w:pitch w:val="variable"/>
  </w:font>
  <w:font w:name="Liberation Sans">
    <w:altName w:val="Arial"/>
    <w:charset w:val="01" w:characterSet="utf-8"/>
    <w:family w:val="swiss"/>
    <w:pitch w:val="variable"/>
  </w:font>
  <w:font w:name="Arial">
    <w:altName w:val="Bold"/>
    <w:charset w:val="00" w:characterSet="windows-1252"/>
    <w:family w:val="swiss"/>
    <w:pitch w:val="default"/>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tabs>
        <w:tab w:val="right" w:pos="7938" w:leader="none"/>
        <w:tab w:val="right" w:pos="9638" w:leader="none"/>
      </w:tabs>
      <w:ind w:start="-1134" w:hanging="0"/>
      <w:rPr/>
    </w:pPr>
    <w:r>
      <w:object>
        <v:shape id="ole_rId1" style="width:100.8pt;height:9.35pt" o:ole="">
          <v:imagedata r:id="rId2" o:title=""/>
        </v:shape>
        <o:OLEObject Type="Embed" ProgID="" ShapeID="ole_rId1" DrawAspect="Content" ObjectID="_127262489" r:id="rId1"/>
      </w:object>
    </w:r>
    <w:r>
      <w:rPr/>
      <w:tab/>
    </w:r>
    <w:r>
      <w:rPr/>
      <w:t xml:space="preserve">Side </w:t>
    </w:r>
    <w:r>
      <w:rPr/>
      <w:fldChar w:fldCharType="begin"/>
    </w:r>
    <w:r>
      <w:rPr/>
      <w:instrText> PAGE </w:instrText>
    </w:r>
    <w:r>
      <w:rPr/>
      <w:fldChar w:fldCharType="separate"/>
    </w:r>
    <w:r>
      <w:rPr/>
      <w:t>8</w:t>
    </w:r>
    <w:r>
      <w:rPr/>
      <w:fldChar w:fldCharType="end"/>
    </w:r>
    <w:r>
      <w:rPr/>
      <w:t>/</w:t>
    </w:r>
    <w:r>
      <w:rPr/>
      <w:fldChar w:fldCharType="begin"/>
    </w:r>
    <w:r>
      <w:rPr/>
      <w:instrText> NUMPAGES \* ARABIC </w:instrText>
    </w:r>
    <w:r>
      <w:rPr/>
      <w:fldChar w:fldCharType="separate"/>
    </w:r>
    <w:r>
      <w:rPr/>
      <w:t>8</w:t>
    </w:r>
    <w:r>
      <w:rPr/>
      <w:fldChar w:fldCharType="end"/>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tabs>
        <w:tab w:val="right" w:pos="7088" w:leader="none"/>
        <w:tab w:val="right" w:pos="9638" w:leader="none"/>
      </w:tabs>
      <w:ind w:start="-1843" w:hanging="0"/>
      <w:rPr/>
    </w:pPr>
    <w:r>
      <w:rPr/>
      <w:t>Jystrup Savværk</w:t>
      <w:tab/>
      <w:t>DV-rapport</w:t>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pStyle w:val="Heading1"/>
      <w:numFmt w:val="decimal"/>
      <w:lvlText w:val="%1"/>
      <w:lvlJc w:val="start"/>
      <w:pPr>
        <w:tabs>
          <w:tab w:val="num" w:pos="703"/>
        </w:tabs>
        <w:ind w:start="703" w:hanging="703"/>
      </w:pPr>
      <w:rPr>
        <w:sz w:val="24"/>
        <w:i w:val="false"/>
        <w:b/>
        <w:rFonts w:ascii="Times New Roman" w:hAnsi="Times New Roman" w:cs="Times New Roman"/>
      </w:rPr>
    </w:lvl>
    <w:lvl w:ilvl="1">
      <w:start w:val="1"/>
      <w:pStyle w:val="Heading2"/>
      <w:numFmt w:val="decimal"/>
      <w:lvlText w:val="%1.%2"/>
      <w:lvlJc w:val="start"/>
      <w:pPr>
        <w:tabs>
          <w:tab w:val="num" w:pos="703"/>
        </w:tabs>
        <w:ind w:start="703" w:hanging="703"/>
      </w:pPr>
      <w:rPr>
        <w:sz w:val="24"/>
        <w:i w:val="false"/>
        <w:b/>
        <w:rFonts w:ascii="Times New Roman" w:hAnsi="Times New Roman" w:cs="Times New Roman"/>
      </w:rPr>
    </w:lvl>
    <w:lvl w:ilvl="2">
      <w:start w:val="1"/>
      <w:pStyle w:val="Heading3"/>
      <w:numFmt w:val="decimal"/>
      <w:lvlText w:val="%1.%2.%3"/>
      <w:lvlJc w:val="start"/>
      <w:pPr>
        <w:tabs>
          <w:tab w:val="num" w:pos="720"/>
        </w:tabs>
        <w:ind w:start="720" w:hanging="720"/>
      </w:pPr>
      <w:rPr>
        <w:sz w:val="24"/>
        <w:i w:val="false"/>
        <w:b/>
        <w:rFonts w:ascii="Times New Roman" w:hAnsi="Times New Roman" w:cs="Times New Roman"/>
      </w:rPr>
    </w:lvl>
    <w:lvl w:ilvl="3">
      <w:start w:val="1"/>
      <w:numFmt w:val="none"/>
      <w:suff w:val="nothing"/>
      <w:lvlText w:val=""/>
      <w:lvlJc w:val="start"/>
      <w:pPr>
        <w:ind w:start="0" w:hanging="0"/>
      </w:pPr>
    </w:lvl>
    <w:lvl w:ilvl="4">
      <w:start w:val="1"/>
      <w:numFmt w:val="none"/>
      <w:suff w:val="nothing"/>
      <w:lvlText w:val=""/>
      <w:lvlJc w:val="start"/>
      <w:pPr>
        <w:ind w:start="0" w:hanging="0"/>
      </w:pPr>
    </w:lvl>
    <w:lvl w:ilvl="5">
      <w:start w:val="1"/>
      <w:numFmt w:val="none"/>
      <w:suff w:val="nothing"/>
      <w:lvlText w:val=""/>
      <w:lvlJc w:val="start"/>
      <w:pPr>
        <w:ind w:start="0" w:hanging="0"/>
      </w:pPr>
    </w:lvl>
    <w:lvl w:ilvl="6">
      <w:start w:val="1"/>
      <w:numFmt w:val="none"/>
      <w:suff w:val="nothing"/>
      <w:lvlText w:val=""/>
      <w:lvlJc w:val="start"/>
      <w:pPr>
        <w:ind w:start="0" w:hanging="0"/>
      </w:pPr>
    </w:lvl>
    <w:lvl w:ilvl="7">
      <w:start w:val="1"/>
      <w:numFmt w:val="none"/>
      <w:suff w:val="nothing"/>
      <w:lvlText w:val=""/>
      <w:lvlJc w:val="start"/>
      <w:pPr>
        <w:ind w:start="0" w:hanging="0"/>
      </w:pPr>
    </w:lvl>
    <w:lvl w:ilvl="8">
      <w:start w:val="1"/>
      <w:numFmt w:val="none"/>
      <w:suff w:val="nothing"/>
      <w:lvlText w:val=""/>
      <w:lvlJc w:val="start"/>
      <w:pPr>
        <w:ind w:start="0" w:hanging="0"/>
      </w:pPr>
    </w:lvl>
  </w:abstractNum>
  <w:abstractNum w:abstractNumId="2">
    <w:lvl w:ilvl="0">
      <w:start w:val="4"/>
      <w:numFmt w:val="bullet"/>
      <w:lvlText w:val="-"/>
      <w:lvlJc w:val="start"/>
      <w:pPr>
        <w:tabs>
          <w:tab w:val="num" w:pos="1069"/>
        </w:tabs>
        <w:ind w:start="1069" w:hanging="360"/>
      </w:pPr>
      <w:rPr>
        <w:rFonts w:ascii="Times New Roman" w:hAnsi="Times New Roman" w:cs="Times New Roman" w:hint="default"/>
        <w:rFonts w:cs="Times New Roman"/>
      </w:rPr>
    </w:lvl>
  </w:abstractNum>
  <w:abstractNum w:abstractNumId="3">
    <w:lvl w:ilvl="0">
      <w:start w:val="1"/>
      <w:numFmt w:val="decimal"/>
      <w:lvlText w:val="%1."/>
      <w:lvlJc w:val="start"/>
      <w:pPr>
        <w:tabs>
          <w:tab w:val="num" w:pos="1069"/>
        </w:tabs>
        <w:ind w:start="1069" w:hanging="360"/>
      </w:pPr>
      <w:rPr/>
    </w:lvl>
  </w:abstractNum>
  <w:num w:numId="1">
    <w:abstractNumId w:val="1"/>
  </w:num>
  <w:num w:numId="2">
    <w:abstractNumId w:val="2"/>
  </w:num>
  <w:num w:numId="3">
    <w:abstractNumId w:val="3"/>
  </w:num>
</w:numbering>
</file>

<file path=word/settings.xml><?xml version="1.0" encoding="utf-8"?>
<w:settings xmlns:w="http://schemas.openxmlformats.org/wordprocessingml/2006/main">
  <w:zoom w:percent="150"/>
  <w:defaultTabStop w:val="1304"/>
  <w:autoHyphenation w:val="true"/>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oto Sans CJK SC" w:cs="Lohit Devanagari"/>
        <w:sz w:val="24"/>
        <w:szCs w:val="24"/>
        <w:lang w:val="en-US" w:eastAsia="zh-CN" w:bidi="hi-IN"/>
      </w:rPr>
    </w:rPrDefault>
    <w:pPrDefault>
      <w:pPr/>
    </w:pPrDefault>
  </w:docDefaults>
  <w:style w:type="paragraph" w:styleId="Normal">
    <w:name w:val="Normal"/>
    <w:qFormat/>
    <w:pPr>
      <w:widowControl/>
      <w:suppressAutoHyphens w:val="false"/>
      <w:bidi w:val="0"/>
    </w:pPr>
    <w:rPr>
      <w:rFonts w:ascii="Times New Roman" w:hAnsi="Times New Roman" w:eastAsia="Times New Roman" w:cs="Times New Roman"/>
      <w:color w:val="auto"/>
      <w:sz w:val="22"/>
      <w:szCs w:val="20"/>
      <w:lang w:val="da-DK" w:bidi="ar-SA" w:eastAsia="zh-CN"/>
    </w:rPr>
  </w:style>
  <w:style w:type="paragraph" w:styleId="Heading1">
    <w:name w:val="Heading 1"/>
    <w:basedOn w:val="Normal"/>
    <w:next w:val="Normal"/>
    <w:qFormat/>
    <w:pPr>
      <w:keepNext w:val="true"/>
      <w:numPr>
        <w:ilvl w:val="0"/>
        <w:numId w:val="1"/>
      </w:numPr>
      <w:spacing w:before="240" w:after="60"/>
      <w:outlineLvl w:val="0"/>
    </w:pPr>
    <w:rPr>
      <w:b/>
      <w:kern w:val="2"/>
      <w:sz w:val="28"/>
    </w:rPr>
  </w:style>
  <w:style w:type="paragraph" w:styleId="Heading2">
    <w:name w:val="Heading 2"/>
    <w:basedOn w:val="Normal"/>
    <w:next w:val="Normal"/>
    <w:qFormat/>
    <w:pPr>
      <w:keepNext w:val="true"/>
      <w:numPr>
        <w:ilvl w:val="1"/>
        <w:numId w:val="1"/>
      </w:numPr>
      <w:spacing w:before="240" w:after="60"/>
      <w:outlineLvl w:val="1"/>
    </w:pPr>
    <w:rPr>
      <w:b/>
      <w:sz w:val="24"/>
    </w:rPr>
  </w:style>
  <w:style w:type="paragraph" w:styleId="Heading3">
    <w:name w:val="Heading 3"/>
    <w:basedOn w:val="Normal"/>
    <w:next w:val="Normal"/>
    <w:qFormat/>
    <w:pPr>
      <w:keepNext w:val="true"/>
      <w:numPr>
        <w:ilvl w:val="2"/>
        <w:numId w:val="1"/>
      </w:numPr>
      <w:spacing w:before="240" w:after="60"/>
      <w:outlineLvl w:val="2"/>
    </w:pPr>
    <w:rPr>
      <w:b/>
      <w:sz w:val="24"/>
    </w:rPr>
  </w:style>
  <w:style w:type="paragraph" w:styleId="Heading4">
    <w:name w:val="Heading 4"/>
    <w:basedOn w:val="Normal"/>
    <w:next w:val="Normal"/>
    <w:qFormat/>
    <w:pPr>
      <w:keepNext w:val="true"/>
      <w:spacing w:before="240" w:after="60"/>
      <w:outlineLvl w:val="3"/>
    </w:pPr>
    <w:rPr>
      <w:rFonts w:ascii="Arial" w:hAnsi="Arial" w:cs="Arial"/>
      <w:b/>
      <w:sz w:val="24"/>
    </w:rPr>
  </w:style>
  <w:style w:type="paragraph" w:styleId="Heading5">
    <w:name w:val="Heading 5"/>
    <w:basedOn w:val="Normal"/>
    <w:next w:val="Normal"/>
    <w:qFormat/>
    <w:pPr>
      <w:spacing w:before="240" w:after="60"/>
      <w:outlineLvl w:val="4"/>
    </w:pPr>
    <w:rPr>
      <w:sz w:val="22"/>
    </w:rPr>
  </w:style>
  <w:style w:type="paragraph" w:styleId="Heading6">
    <w:name w:val="Heading 6"/>
    <w:basedOn w:val="Normal"/>
    <w:next w:val="Normal"/>
    <w:qFormat/>
    <w:pPr>
      <w:spacing w:before="240" w:after="60"/>
      <w:outlineLvl w:val="5"/>
    </w:pPr>
    <w:rPr>
      <w:i/>
      <w:sz w:val="22"/>
    </w:rPr>
  </w:style>
  <w:style w:type="paragraph" w:styleId="Heading7">
    <w:name w:val="Heading 7"/>
    <w:basedOn w:val="Normal"/>
    <w:next w:val="Normal"/>
    <w:qFormat/>
    <w:pPr>
      <w:spacing w:before="240" w:after="60"/>
      <w:outlineLvl w:val="6"/>
    </w:pPr>
    <w:rPr>
      <w:rFonts w:ascii="Arial" w:hAnsi="Arial" w:cs="Arial"/>
    </w:rPr>
  </w:style>
  <w:style w:type="paragraph" w:styleId="Heading8">
    <w:name w:val="Heading 8"/>
    <w:basedOn w:val="Normal"/>
    <w:next w:val="Normal"/>
    <w:qFormat/>
    <w:pPr>
      <w:spacing w:before="240" w:after="60"/>
      <w:outlineLvl w:val="7"/>
    </w:pPr>
    <w:rPr>
      <w:rFonts w:ascii="Arial" w:hAnsi="Arial" w:cs="Arial"/>
      <w:i/>
    </w:rPr>
  </w:style>
  <w:style w:type="paragraph" w:styleId="Heading9">
    <w:name w:val="Heading 9"/>
    <w:basedOn w:val="Normal"/>
    <w:next w:val="Normal"/>
    <w:qFormat/>
    <w:pPr>
      <w:spacing w:before="240" w:after="60"/>
      <w:outlineLvl w:val="8"/>
    </w:pPr>
    <w:rPr>
      <w:rFonts w:ascii="Arial" w:hAnsi="Arial" w:cs="Arial"/>
      <w:b/>
      <w:i/>
      <w:sz w:val="18"/>
    </w:rPr>
  </w:style>
  <w:style w:type="character" w:styleId="WW8Num1z0">
    <w:name w:val="WW8Num1z0"/>
    <w:qFormat/>
    <w:rPr>
      <w:rFonts w:ascii="Times New Roman" w:hAnsi="Times New Roman" w:cs="Times New Roman"/>
      <w:b/>
      <w:i w:val="false"/>
      <w:sz w:val="20"/>
    </w:rPr>
  </w:style>
  <w:style w:type="character" w:styleId="WW8Num1z1">
    <w:name w:val="WW8Num1z1"/>
    <w:qFormat/>
    <w:rPr>
      <w:b/>
    </w:rPr>
  </w:style>
  <w:style w:type="character" w:styleId="WW8Num2z0">
    <w:name w:val="WW8Num2z0"/>
    <w:qFormat/>
    <w:rPr/>
  </w:style>
  <w:style w:type="character" w:styleId="WW8Num3z0">
    <w:name w:val="WW8Num3z0"/>
    <w:qFormat/>
    <w:rPr>
      <w:rFonts w:ascii="Times New Roman" w:hAnsi="Times New Roman" w:cs="Times New Roman"/>
      <w:b/>
      <w:i w:val="false"/>
      <w:sz w:val="20"/>
    </w:rPr>
  </w:style>
  <w:style w:type="character" w:styleId="WW8Num3z1">
    <w:name w:val="WW8Num3z1"/>
    <w:qFormat/>
    <w:rPr>
      <w:b/>
    </w:rPr>
  </w:style>
  <w:style w:type="character" w:styleId="WW8Num4z0">
    <w:name w:val="WW8Num4z0"/>
    <w:qFormat/>
    <w:rPr>
      <w:rFonts w:ascii="Times New Roman" w:hAnsi="Times New Roman" w:cs="Times New Roman"/>
      <w:b/>
      <w:i w:val="false"/>
      <w:sz w:val="24"/>
    </w:rPr>
  </w:style>
  <w:style w:type="character" w:styleId="WW8Num4z3">
    <w:name w:val="WW8Num4z3"/>
    <w:qFormat/>
    <w:rPr/>
  </w:style>
  <w:style w:type="character" w:styleId="WW8Num4z4">
    <w:name w:val="WW8Num4z4"/>
    <w:qFormat/>
    <w:rPr/>
  </w:style>
  <w:style w:type="character" w:styleId="WW8Num4z5">
    <w:name w:val="WW8Num4z5"/>
    <w:qFormat/>
    <w:rPr/>
  </w:style>
  <w:style w:type="character" w:styleId="WW8Num4z6">
    <w:name w:val="WW8Num4z6"/>
    <w:qFormat/>
    <w:rPr/>
  </w:style>
  <w:style w:type="character" w:styleId="WW8Num4z7">
    <w:name w:val="WW8Num4z7"/>
    <w:qFormat/>
    <w:rPr/>
  </w:style>
  <w:style w:type="character" w:styleId="WW8Num4z8">
    <w:name w:val="WW8Num4z8"/>
    <w:qFormat/>
    <w:rPr/>
  </w:style>
  <w:style w:type="character" w:styleId="WW8Num5z0">
    <w:name w:val="WW8Num5z0"/>
    <w:qFormat/>
    <w:rPr/>
  </w:style>
  <w:style w:type="character" w:styleId="WW8Num6z0">
    <w:name w:val="WW8Num6z0"/>
    <w:qFormat/>
    <w:rPr>
      <w:rFonts w:ascii="Times New Roman" w:hAnsi="Times New Roman" w:eastAsia="Times New Roman" w:cs="Times New Roman"/>
    </w:rPr>
  </w:style>
  <w:style w:type="character" w:styleId="WW8Num6z1">
    <w:name w:val="WW8Num6z1"/>
    <w:qFormat/>
    <w:rPr>
      <w:rFonts w:ascii="Courier New" w:hAnsi="Courier New" w:cs="Courier New"/>
    </w:rPr>
  </w:style>
  <w:style w:type="character" w:styleId="WW8Num6z2">
    <w:name w:val="WW8Num6z2"/>
    <w:qFormat/>
    <w:rPr>
      <w:rFonts w:ascii="Wingdings" w:hAnsi="Wingdings" w:cs="Wingdings"/>
    </w:rPr>
  </w:style>
  <w:style w:type="character" w:styleId="WW8Num6z3">
    <w:name w:val="WW8Num6z3"/>
    <w:qFormat/>
    <w:rPr>
      <w:rFonts w:ascii="Symbol" w:hAnsi="Symbol" w:cs="Symbol"/>
    </w:rPr>
  </w:style>
  <w:style w:type="character" w:styleId="WW8Num7z0">
    <w:name w:val="WW8Num7z0"/>
    <w:qFormat/>
    <w:rPr/>
  </w:style>
  <w:style w:type="character" w:styleId="WW8Num8z0">
    <w:name w:val="WW8Num8z0"/>
    <w:qFormat/>
    <w:rPr>
      <w:rFonts w:ascii="Times New Roman" w:hAnsi="Times New Roman" w:cs="Times New Roman"/>
      <w:b/>
      <w:i w:val="false"/>
      <w:sz w:val="20"/>
    </w:rPr>
  </w:style>
  <w:style w:type="character" w:styleId="WW8Num8z1">
    <w:name w:val="WW8Num8z1"/>
    <w:qFormat/>
    <w:rPr>
      <w:b/>
    </w:rPr>
  </w:style>
  <w:style w:type="character" w:styleId="WW8Num9z0">
    <w:name w:val="WW8Num9z0"/>
    <w:qFormat/>
    <w:rPr>
      <w:rFonts w:ascii="Symbol" w:hAnsi="Symbol" w:cs="Symbol"/>
    </w:rPr>
  </w:style>
  <w:style w:type="character" w:styleId="WW8Num10z0">
    <w:name w:val="WW8Num10z0"/>
    <w:qFormat/>
    <w:rPr/>
  </w:style>
  <w:style w:type="character" w:styleId="WW8Num10z1">
    <w:name w:val="WW8Num10z1"/>
    <w:qFormat/>
    <w:rPr/>
  </w:style>
  <w:style w:type="character" w:styleId="WW8Num10z2">
    <w:name w:val="WW8Num10z2"/>
    <w:qFormat/>
    <w:rPr/>
  </w:style>
  <w:style w:type="character" w:styleId="WW8Num10z3">
    <w:name w:val="WW8Num10z3"/>
    <w:qFormat/>
    <w:rPr/>
  </w:style>
  <w:style w:type="character" w:styleId="WW8Num10z4">
    <w:name w:val="WW8Num10z4"/>
    <w:qFormat/>
    <w:rPr/>
  </w:style>
  <w:style w:type="character" w:styleId="WW8Num10z5">
    <w:name w:val="WW8Num10z5"/>
    <w:qFormat/>
    <w:rPr/>
  </w:style>
  <w:style w:type="character" w:styleId="WW8Num10z6">
    <w:name w:val="WW8Num10z6"/>
    <w:qFormat/>
    <w:rPr/>
  </w:style>
  <w:style w:type="character" w:styleId="WW8Num10z7">
    <w:name w:val="WW8Num10z7"/>
    <w:qFormat/>
    <w:rPr/>
  </w:style>
  <w:style w:type="character" w:styleId="WW8Num10z8">
    <w:name w:val="WW8Num10z8"/>
    <w:qFormat/>
    <w:rPr/>
  </w:style>
  <w:style w:type="character" w:styleId="WW8Num11z0">
    <w:name w:val="WW8Num11z0"/>
    <w:qFormat/>
    <w:rPr/>
  </w:style>
  <w:style w:type="character" w:styleId="WW8Num12z0">
    <w:name w:val="WW8Num12z0"/>
    <w:qFormat/>
    <w:rPr/>
  </w:style>
  <w:style w:type="character" w:styleId="WW8Num12z1">
    <w:name w:val="WW8Num12z1"/>
    <w:qFormat/>
    <w:rPr/>
  </w:style>
  <w:style w:type="character" w:styleId="WW8Num12z2">
    <w:name w:val="WW8Num12z2"/>
    <w:qFormat/>
    <w:rPr/>
  </w:style>
  <w:style w:type="character" w:styleId="WW8Num12z3">
    <w:name w:val="WW8Num12z3"/>
    <w:qFormat/>
    <w:rPr/>
  </w:style>
  <w:style w:type="character" w:styleId="WW8Num12z4">
    <w:name w:val="WW8Num12z4"/>
    <w:qFormat/>
    <w:rPr/>
  </w:style>
  <w:style w:type="character" w:styleId="WW8Num12z5">
    <w:name w:val="WW8Num12z5"/>
    <w:qFormat/>
    <w:rPr/>
  </w:style>
  <w:style w:type="character" w:styleId="WW8Num12z6">
    <w:name w:val="WW8Num12z6"/>
    <w:qFormat/>
    <w:rPr/>
  </w:style>
  <w:style w:type="character" w:styleId="WW8Num12z7">
    <w:name w:val="WW8Num12z7"/>
    <w:qFormat/>
    <w:rPr/>
  </w:style>
  <w:style w:type="character" w:styleId="WW8Num12z8">
    <w:name w:val="WW8Num12z8"/>
    <w:qFormat/>
    <w:rPr/>
  </w:style>
  <w:style w:type="character" w:styleId="WW8Num13z0">
    <w:name w:val="WW8Num13z0"/>
    <w:qFormat/>
    <w:rPr/>
  </w:style>
  <w:style w:type="character" w:styleId="WW8Num13z1">
    <w:name w:val="WW8Num13z1"/>
    <w:qFormat/>
    <w:rPr/>
  </w:style>
  <w:style w:type="character" w:styleId="WW8Num13z2">
    <w:name w:val="WW8Num13z2"/>
    <w:qFormat/>
    <w:rPr/>
  </w:style>
  <w:style w:type="character" w:styleId="WW8Num13z3">
    <w:name w:val="WW8Num13z3"/>
    <w:qFormat/>
    <w:rPr/>
  </w:style>
  <w:style w:type="character" w:styleId="WW8Num13z4">
    <w:name w:val="WW8Num13z4"/>
    <w:qFormat/>
    <w:rPr/>
  </w:style>
  <w:style w:type="character" w:styleId="WW8Num13z5">
    <w:name w:val="WW8Num13z5"/>
    <w:qFormat/>
    <w:rPr/>
  </w:style>
  <w:style w:type="character" w:styleId="WW8Num13z6">
    <w:name w:val="WW8Num13z6"/>
    <w:qFormat/>
    <w:rPr/>
  </w:style>
  <w:style w:type="character" w:styleId="WW8Num13z7">
    <w:name w:val="WW8Num13z7"/>
    <w:qFormat/>
    <w:rPr/>
  </w:style>
  <w:style w:type="character" w:styleId="WW8Num13z8">
    <w:name w:val="WW8Num13z8"/>
    <w:qFormat/>
    <w:rPr/>
  </w:style>
  <w:style w:type="character" w:styleId="WW8Num14z0">
    <w:name w:val="WW8Num14z0"/>
    <w:qFormat/>
    <w:rPr>
      <w:rFonts w:ascii="Times New Roman" w:hAnsi="Times New Roman" w:cs="Times New Roman"/>
      <w:b/>
      <w:i w:val="false"/>
      <w:sz w:val="20"/>
    </w:rPr>
  </w:style>
  <w:style w:type="character" w:styleId="WW8Num14z1">
    <w:name w:val="WW8Num14z1"/>
    <w:qFormat/>
    <w:rPr>
      <w:b/>
    </w:rPr>
  </w:style>
  <w:style w:type="character" w:styleId="Standardskrifttypeiafsnit">
    <w:name w:val="Standardskrifttype i afsnit"/>
    <w:qFormat/>
    <w:rPr/>
  </w:style>
  <w:style w:type="character" w:styleId="Kommentarhenvisning">
    <w:name w:val="Kommentarhenvisning"/>
    <w:basedOn w:val="Standardskrifttypeiafsnit"/>
    <w:qFormat/>
    <w:rPr>
      <w:sz w:val="16"/>
    </w:rPr>
  </w:style>
  <w:style w:type="character" w:styleId="InternetLink">
    <w:name w:val="Internet Link"/>
    <w:basedOn w:val="Standardskrifttypeiafsnit"/>
    <w:rPr>
      <w:color w:val="0000FF"/>
      <w:u w:val="single"/>
    </w:rPr>
  </w:style>
  <w:style w:type="paragraph" w:styleId="Heading">
    <w:name w:val="Heading"/>
    <w:basedOn w:val="Normal"/>
    <w:next w:val="TextBody"/>
    <w:qFormat/>
    <w:pPr>
      <w:keepNext w:val="true"/>
      <w:spacing w:before="240" w:after="120"/>
    </w:pPr>
    <w:rPr>
      <w:rFonts w:ascii="Liberation Sans" w:hAnsi="Liberation Sans" w:eastAsia="Noto Sans CJK SC" w:cs="Lohit Devanagari"/>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Lohit Devanagari"/>
    </w:rPr>
  </w:style>
  <w:style w:type="paragraph" w:styleId="Caption">
    <w:name w:val="Caption"/>
    <w:basedOn w:val="Normal"/>
    <w:qFormat/>
    <w:pPr>
      <w:suppressLineNumbers/>
      <w:spacing w:before="120" w:after="120"/>
    </w:pPr>
    <w:rPr>
      <w:rFonts w:cs="Lohit Devanagari"/>
      <w:i/>
      <w:iCs/>
      <w:sz w:val="24"/>
      <w:szCs w:val="24"/>
    </w:rPr>
  </w:style>
  <w:style w:type="paragraph" w:styleId="Index">
    <w:name w:val="Index"/>
    <w:basedOn w:val="Normal"/>
    <w:qFormat/>
    <w:pPr>
      <w:suppressLineNumbers/>
    </w:pPr>
    <w:rPr>
      <w:rFonts w:cs="Lohit Devanagari"/>
    </w:rPr>
  </w:style>
  <w:style w:type="paragraph" w:styleId="Contents1">
    <w:name w:val="TOC 1"/>
    <w:basedOn w:val="Normal"/>
    <w:next w:val="Normal"/>
    <w:pPr>
      <w:tabs>
        <w:tab w:val="left" w:pos="440" w:leader="none"/>
        <w:tab w:val="left" w:pos="660" w:leader="none"/>
        <w:tab w:val="right" w:pos="7076" w:leader="dot"/>
      </w:tabs>
      <w:spacing w:before="120" w:after="120"/>
    </w:pPr>
    <w:rPr>
      <w:b/>
      <w:sz w:val="24"/>
      <w:lang w:val="en-US" w:eastAsia="en-US"/>
    </w:rPr>
  </w:style>
  <w:style w:type="paragraph" w:styleId="Contents2">
    <w:name w:val="TOC 2"/>
    <w:basedOn w:val="Normal"/>
    <w:next w:val="Normal"/>
    <w:pPr>
      <w:tabs>
        <w:tab w:val="left" w:pos="660" w:leader="none"/>
        <w:tab w:val="right" w:pos="7076" w:leader="dot"/>
      </w:tabs>
    </w:pPr>
    <w:rPr>
      <w:b/>
      <w:lang w:val="en-US" w:eastAsia="en-US"/>
    </w:rPr>
  </w:style>
  <w:style w:type="paragraph" w:styleId="Contents3">
    <w:name w:val="TOC 3"/>
    <w:basedOn w:val="Normal"/>
    <w:next w:val="Normal"/>
    <w:pPr>
      <w:tabs>
        <w:tab w:val="left" w:pos="426" w:leader="none"/>
      </w:tabs>
      <w:ind w:end="-427" w:hanging="0"/>
    </w:pPr>
    <w:rPr>
      <w:b/>
      <w:sz w:val="48"/>
      <w:szCs w:val="48"/>
      <w:lang w:val="en-US" w:eastAsia="en-US"/>
    </w:rPr>
  </w:style>
  <w:style w:type="paragraph" w:styleId="Contents4">
    <w:name w:val="TOC 4"/>
    <w:basedOn w:val="Normal"/>
    <w:next w:val="Normal"/>
    <w:pPr>
      <w:ind w:start="660" w:hanging="0"/>
    </w:pPr>
    <w:rPr>
      <w:sz w:val="18"/>
    </w:rPr>
  </w:style>
  <w:style w:type="paragraph" w:styleId="Contents5">
    <w:name w:val="TOC 5"/>
    <w:basedOn w:val="Normal"/>
    <w:next w:val="Normal"/>
    <w:pPr>
      <w:ind w:start="880" w:hanging="0"/>
    </w:pPr>
    <w:rPr>
      <w:sz w:val="18"/>
    </w:rPr>
  </w:style>
  <w:style w:type="paragraph" w:styleId="Contents6">
    <w:name w:val="TOC 6"/>
    <w:basedOn w:val="Normal"/>
    <w:next w:val="Normal"/>
    <w:pPr>
      <w:ind w:start="1100" w:hanging="0"/>
    </w:pPr>
    <w:rPr>
      <w:sz w:val="18"/>
    </w:rPr>
  </w:style>
  <w:style w:type="paragraph" w:styleId="Contents7">
    <w:name w:val="TOC 7"/>
    <w:basedOn w:val="Normal"/>
    <w:next w:val="Normal"/>
    <w:pPr>
      <w:ind w:start="1320" w:hanging="0"/>
    </w:pPr>
    <w:rPr>
      <w:sz w:val="18"/>
    </w:rPr>
  </w:style>
  <w:style w:type="paragraph" w:styleId="Contents8">
    <w:name w:val="TOC 8"/>
    <w:basedOn w:val="Normal"/>
    <w:next w:val="Normal"/>
    <w:pPr>
      <w:ind w:start="1540" w:hanging="0"/>
    </w:pPr>
    <w:rPr>
      <w:sz w:val="18"/>
    </w:rPr>
  </w:style>
  <w:style w:type="paragraph" w:styleId="Contents9">
    <w:name w:val="TOC 9"/>
    <w:basedOn w:val="Normal"/>
    <w:next w:val="Normal"/>
    <w:pPr>
      <w:ind w:start="1760" w:hanging="0"/>
    </w:pPr>
    <w:rPr>
      <w:sz w:val="18"/>
    </w:rPr>
  </w:style>
  <w:style w:type="paragraph" w:styleId="Header">
    <w:name w:val="Header"/>
    <w:basedOn w:val="Normal"/>
    <w:pPr>
      <w:tabs>
        <w:tab w:val="center" w:pos="4819" w:leader="none"/>
        <w:tab w:val="right" w:pos="9638" w:leader="none"/>
      </w:tabs>
    </w:pPr>
    <w:rPr/>
  </w:style>
  <w:style w:type="paragraph" w:styleId="Footer">
    <w:name w:val="Footer"/>
    <w:basedOn w:val="Normal"/>
    <w:pPr>
      <w:tabs>
        <w:tab w:val="center" w:pos="4819" w:leader="none"/>
        <w:tab w:val="right" w:pos="9638" w:leader="none"/>
      </w:tabs>
    </w:pPr>
    <w:rPr/>
  </w:style>
  <w:style w:type="paragraph" w:styleId="Kommentartekst">
    <w:name w:val="Kommentartekst"/>
    <w:basedOn w:val="Normal"/>
    <w:qFormat/>
    <w:pPr/>
    <w:rPr>
      <w:sz w:val="20"/>
    </w:rPr>
  </w:style>
  <w:style w:type="paragraph" w:styleId="TableContents">
    <w:name w:val="Table Contents"/>
    <w:basedOn w:val="Normal"/>
    <w:qFormat/>
    <w:pPr>
      <w:suppressLineNumbers/>
    </w:pPr>
    <w:rPr/>
  </w:style>
  <w:style w:type="paragraph" w:styleId="TableHeading">
    <w:name w:val="Table Heading"/>
    <w:basedOn w:val="TableContents"/>
    <w:qFormat/>
    <w:pPr>
      <w:suppressLineNumbers/>
      <w:jc w:val="center"/>
    </w:pPr>
    <w:rPr>
      <w:b/>
      <w:bCs/>
    </w:rPr>
  </w:style>
  <w:style w:type="numbering" w:styleId="WW8Num1">
    <w:name w:val="WW8Num1"/>
    <w:qFormat/>
  </w:style>
  <w:style w:type="numbering" w:styleId="WW8Num2">
    <w:name w:val="WW8Num2"/>
    <w:qFormat/>
  </w:style>
  <w:style w:type="numbering" w:styleId="WW8Num3">
    <w:name w:val="WW8Num3"/>
    <w:qFormat/>
  </w:style>
  <w:style w:type="numbering" w:styleId="WW8Num4">
    <w:name w:val="WW8Num4"/>
    <w:qFormat/>
  </w:style>
  <w:style w:type="numbering" w:styleId="WW8Num5">
    <w:name w:val="WW8Num5"/>
    <w:qFormat/>
  </w:style>
  <w:style w:type="numbering" w:styleId="WW8Num6">
    <w:name w:val="WW8Num6"/>
    <w:qFormat/>
  </w:style>
  <w:style w:type="numbering" w:styleId="WW8Num7">
    <w:name w:val="WW8Num7"/>
    <w:qFormat/>
  </w:style>
  <w:style w:type="numbering" w:styleId="WW8Num8">
    <w:name w:val="WW8Num8"/>
    <w:qFormat/>
  </w:style>
  <w:style w:type="numbering" w:styleId="WW8Num9">
    <w:name w:val="WW8Num9"/>
    <w:qFormat/>
  </w:style>
  <w:style w:type="numbering" w:styleId="WW8Num10">
    <w:name w:val="WW8Num10"/>
    <w:qFormat/>
  </w:style>
  <w:style w:type="numbering" w:styleId="WW8Num11">
    <w:name w:val="WW8Num11"/>
    <w:qFormat/>
  </w:style>
  <w:style w:type="numbering" w:styleId="WW8Num12">
    <w:name w:val="WW8Num12"/>
    <w:qFormat/>
  </w:style>
  <w:style w:type="numbering" w:styleId="WW8Num13">
    <w:name w:val="WW8Num13"/>
    <w:qFormat/>
  </w:style>
  <w:style w:type="numbering" w:styleId="WW8Num14">
    <w:name w:val="WW8Num14"/>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hyperlink" Target="mailto:post@damgaard-as.dk" TargetMode="External"/><Relationship Id="rId4" Type="http://schemas.openxmlformats.org/officeDocument/2006/relationships/hyperlink" Target="mailto:pfh@damgaard-as.dk" TargetMode="External"/><Relationship Id="rId5" Type="http://schemas.openxmlformats.org/officeDocument/2006/relationships/hyperlink" Target="mailto:jbn@damgaard-as.dk" TargetMode="External"/><Relationship Id="rId6" Type="http://schemas.openxmlformats.org/officeDocument/2006/relationships/hyperlink" Target="mailto:jej@damgaard-as.dk" TargetMode="External"/><Relationship Id="rId7" Type="http://schemas.openxmlformats.org/officeDocument/2006/relationships/header" Target="header1.xml"/><Relationship Id="rId8" Type="http://schemas.openxmlformats.org/officeDocument/2006/relationships/footer" Target="footer1.xml"/><Relationship Id="rId9" Type="http://schemas.openxmlformats.org/officeDocument/2006/relationships/numbering" Target="numbering.xml"/><Relationship Id="rId10" Type="http://schemas.openxmlformats.org/officeDocument/2006/relationships/fontTable" Target="fontTable.xml"/><Relationship Id="rId11" Type="http://schemas.openxmlformats.org/officeDocument/2006/relationships/settings" Target="settings.xml"/>
</Relationships>
</file>

<file path=word/_rels/footer1.xml.rels><?xml version="1.0" encoding="UTF-8"?>
<Relationships xmlns="http://schemas.openxmlformats.org/package/2006/relationships"><Relationship Id="rId1" Type="http://schemas.openxmlformats.org/officeDocument/2006/relationships/oleObject" Target="embeddings/oleObject1.bin"/><Relationship Id="rId2" Type="http://schemas.openxmlformats.org/officeDocument/2006/relationships/image" Target="media/image2.png"/>
</Relationships>
</file>

<file path=docProps/app.xml><?xml version="1.0" encoding="utf-8"?>
<Properties xmlns="http://schemas.openxmlformats.org/officeDocument/2006/extended-properties" xmlns:vt="http://schemas.openxmlformats.org/officeDocument/2006/docPropsVTypes">
  <Template>Rapport</Template>
  <TotalTime>18</TotalTime>
  <Application>LibreOffice/6.0.7.3$Linux_X86_64 LibreOffice_project/00m0$Build-3</Application>
  <Pages>8</Pages>
  <Words>1369</Words>
  <Characters>8400</Characters>
  <CharactersWithSpaces>9619</CharactersWithSpaces>
  <Paragraphs>177</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2008-08-21T13:53:00Z</dcterms:created>
  <dc:creator>Jonna B. Nielsen</dc:creator>
  <dc:description/>
  <cp:keywords/>
  <dc:language>en-US</dc:language>
  <cp:lastModifiedBy>jej</cp:lastModifiedBy>
  <cp:lastPrinted>2008-08-21T10:05:00Z</cp:lastPrinted>
  <dcterms:modified xsi:type="dcterms:W3CDTF">2008-10-31T14:06:00Z</dcterms:modified>
  <cp:revision>6</cp:revision>
  <dc:subject/>
  <dc:title>   MT Overskrift 1</dc:title>
</cp:coreProperties>
</file>